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6D54C" w14:textId="6BD74843" w:rsidR="009F2891" w:rsidRPr="00EC4307" w:rsidRDefault="0041591A">
      <w:pPr>
        <w:rPr>
          <w:b/>
          <w:sz w:val="32"/>
          <w:szCs w:val="32"/>
        </w:rPr>
      </w:pPr>
      <w:r w:rsidRPr="00EC4307">
        <w:rPr>
          <w:b/>
          <w:sz w:val="32"/>
          <w:szCs w:val="32"/>
        </w:rPr>
        <w:t>THE RISE OF HISTORICALLY BLACK COLLEGES AND UNIVERSITIES</w:t>
      </w:r>
    </w:p>
    <w:p w14:paraId="73E16D11" w14:textId="77777777" w:rsidR="009F2891" w:rsidRDefault="0041591A">
      <w:pPr>
        <w:pStyle w:val="Heading3"/>
        <w:rPr>
          <w:b/>
          <w:sz w:val="22"/>
          <w:szCs w:val="22"/>
        </w:rPr>
      </w:pPr>
      <w:bookmarkStart w:id="0" w:name="_heading=h.hddt7gpl292c" w:colFirst="0" w:colLast="0"/>
      <w:bookmarkEnd w:id="0"/>
      <w:r>
        <w:rPr>
          <w:b/>
        </w:rPr>
        <w:t xml:space="preserve">Read the following article, pausing to summarize your learning after each section. </w:t>
      </w:r>
    </w:p>
    <w:p w14:paraId="4D03EA41" w14:textId="77777777" w:rsidR="007B7EF4" w:rsidRDefault="007B7EF4">
      <w:pPr>
        <w:spacing w:line="240" w:lineRule="auto"/>
        <w:rPr>
          <w:sz w:val="22"/>
          <w:szCs w:val="22"/>
        </w:rPr>
      </w:pPr>
    </w:p>
    <w:p w14:paraId="2A2228AD" w14:textId="761399EC" w:rsidR="009F2891" w:rsidRDefault="0041591A" w:rsidP="007B7EF4">
      <w:pPr>
        <w:spacing w:line="240" w:lineRule="auto"/>
        <w:jc w:val="both"/>
        <w:rPr>
          <w:sz w:val="22"/>
          <w:szCs w:val="22"/>
        </w:rPr>
      </w:pPr>
      <w:r>
        <w:rPr>
          <w:sz w:val="22"/>
          <w:szCs w:val="22"/>
        </w:rPr>
        <w:t>Historically Black Colleges and Universities (HBCUs) are public and private institutions established before the Civil Rights Act of 1964 in the United States. From their inception, HBCUs gifted Black people with access to education, which was denied to them during slavery and segregation. The institutions also provided a safe space to learn, discover, and build community.</w:t>
      </w:r>
    </w:p>
    <w:p w14:paraId="7B7F464B" w14:textId="688FF8E4" w:rsidR="009F2891" w:rsidRDefault="0041591A" w:rsidP="007B7EF4">
      <w:pPr>
        <w:spacing w:line="240" w:lineRule="auto"/>
        <w:jc w:val="both"/>
        <w:rPr>
          <w:sz w:val="22"/>
          <w:szCs w:val="22"/>
        </w:rPr>
      </w:pPr>
      <w:r>
        <w:rPr>
          <w:sz w:val="22"/>
          <w:szCs w:val="22"/>
        </w:rPr>
        <w:t>Although HBCUs make up 3% of America’s academic institutions, the transformative schools play an integral role in bridging the opportunity gap within higher education. These institutions have</w:t>
      </w:r>
      <w:r w:rsidR="007B7EF4">
        <w:rPr>
          <w:sz w:val="22"/>
          <w:szCs w:val="22"/>
        </w:rPr>
        <w:t>,</w:t>
      </w:r>
      <w:r>
        <w:rPr>
          <w:sz w:val="22"/>
          <w:szCs w:val="22"/>
        </w:rPr>
        <w:t xml:space="preserve"> and continue to produce</w:t>
      </w:r>
      <w:r w:rsidR="007B7EF4">
        <w:rPr>
          <w:sz w:val="22"/>
          <w:szCs w:val="22"/>
        </w:rPr>
        <w:t xml:space="preserve">, </w:t>
      </w:r>
      <w:r>
        <w:rPr>
          <w:sz w:val="22"/>
          <w:szCs w:val="22"/>
        </w:rPr>
        <w:t xml:space="preserve">some of the most influential trailblazers from minority ethnic groups, solidifying their importance in academia.   </w:t>
      </w:r>
    </w:p>
    <w:p w14:paraId="5CB89618" w14:textId="77777777" w:rsidR="009F2891" w:rsidRPr="00EC4307" w:rsidRDefault="0041591A" w:rsidP="007B7EF4">
      <w:pPr>
        <w:pStyle w:val="Heading1"/>
        <w:spacing w:line="240" w:lineRule="auto"/>
        <w:jc w:val="both"/>
        <w:rPr>
          <w:szCs w:val="24"/>
        </w:rPr>
      </w:pPr>
      <w:r w:rsidRPr="00EC4307">
        <w:rPr>
          <w:szCs w:val="24"/>
        </w:rPr>
        <w:t>Why HBCUs Exist</w:t>
      </w:r>
    </w:p>
    <w:p w14:paraId="3062F175" w14:textId="77777777" w:rsidR="009F2891" w:rsidRDefault="0041591A" w:rsidP="007B7EF4">
      <w:pPr>
        <w:spacing w:line="240" w:lineRule="auto"/>
        <w:jc w:val="both"/>
        <w:rPr>
          <w:sz w:val="22"/>
          <w:szCs w:val="22"/>
        </w:rPr>
      </w:pPr>
      <w:r>
        <w:rPr>
          <w:sz w:val="22"/>
          <w:szCs w:val="22"/>
        </w:rPr>
        <w:t>Before the abolishment of slavery in 1865, anti-literacy laws prevented enslaved and free Black people from obtaining an education. These laws existed because slave owners and anti-abolitionists feared that if enslaved and free people of color became literate, they would no longer be able to control them. Without that control, their economy, which was built on slave labor, would collapse.</w:t>
      </w:r>
    </w:p>
    <w:p w14:paraId="5ED5EE11" w14:textId="77777777" w:rsidR="009F2891" w:rsidRDefault="0041591A" w:rsidP="007B7EF4">
      <w:pPr>
        <w:spacing w:line="240" w:lineRule="auto"/>
        <w:jc w:val="both"/>
        <w:rPr>
          <w:sz w:val="20"/>
          <w:szCs w:val="20"/>
        </w:rPr>
      </w:pPr>
      <w:r>
        <w:rPr>
          <w:sz w:val="22"/>
          <w:szCs w:val="22"/>
        </w:rPr>
        <w:t>Although free people of color were allowed to attend white universities in states that abolished slavery, they still faced overt racism and discrimination by their white peers. Black students also tended not to fare well at white institutions because there were significant gaps in their knowledge and college readiness. </w:t>
      </w:r>
    </w:p>
    <w:tbl>
      <w:tblPr>
        <w:tblStyle w:val="a0"/>
        <w:tblW w:w="94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8130"/>
      </w:tblGrid>
      <w:tr w:rsidR="00EC4307" w14:paraId="0D8DA9E2" w14:textId="77777777" w:rsidTr="00EC4307">
        <w:trPr>
          <w:trHeight w:val="3030"/>
        </w:trPr>
        <w:tc>
          <w:tcPr>
            <w:tcW w:w="1320"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501AF6D7" w14:textId="77777777" w:rsidR="009F2891" w:rsidRDefault="0041591A">
            <w:pPr>
              <w:widowControl w:val="0"/>
              <w:spacing w:after="0" w:line="240" w:lineRule="auto"/>
              <w:jc w:val="center"/>
              <w:rPr>
                <w:b/>
                <w:i/>
                <w:color w:val="3E5C61"/>
                <w:sz w:val="28"/>
                <w:szCs w:val="28"/>
              </w:rPr>
            </w:pPr>
            <w:r>
              <w:rPr>
                <w:noProof/>
              </w:rPr>
              <w:drawing>
                <wp:anchor distT="0" distB="0" distL="0" distR="0" simplePos="0" relativeHeight="251658240" behindDoc="0" locked="0" layoutInCell="1" hidden="0" allowOverlap="1" wp14:anchorId="55BCEF1C" wp14:editId="4C2DF903">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12"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7"/>
                          <a:srcRect/>
                          <a:stretch>
                            <a:fillRect/>
                          </a:stretch>
                        </pic:blipFill>
                        <pic:spPr>
                          <a:xfrm>
                            <a:off x="0" y="0"/>
                            <a:ext cx="614363" cy="614363"/>
                          </a:xfrm>
                          <a:prstGeom prst="rect">
                            <a:avLst/>
                          </a:prstGeom>
                          <a:ln/>
                        </pic:spPr>
                      </pic:pic>
                    </a:graphicData>
                  </a:graphic>
                </wp:anchor>
              </w:drawing>
            </w:r>
          </w:p>
        </w:tc>
        <w:tc>
          <w:tcPr>
            <w:tcW w:w="8130"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357C68D4" w14:textId="77777777" w:rsidR="009F2891" w:rsidRDefault="0041591A">
            <w:pPr>
              <w:widowControl w:val="0"/>
              <w:spacing w:after="0" w:line="240" w:lineRule="auto"/>
              <w:rPr>
                <w:i/>
                <w:color w:val="3E5C61"/>
                <w:sz w:val="28"/>
                <w:szCs w:val="28"/>
              </w:rPr>
            </w:pPr>
            <w:r>
              <w:rPr>
                <w:b/>
                <w:i/>
                <w:color w:val="3E5C61"/>
                <w:sz w:val="28"/>
                <w:szCs w:val="28"/>
              </w:rPr>
              <w:t xml:space="preserve">Stop and Jot </w:t>
            </w:r>
          </w:p>
          <w:p w14:paraId="00CE54E0" w14:textId="77777777" w:rsidR="009F2891" w:rsidRDefault="009F2891">
            <w:pPr>
              <w:widowControl w:val="0"/>
              <w:spacing w:after="0" w:line="240" w:lineRule="auto"/>
              <w:rPr>
                <w:color w:val="3E5C61"/>
              </w:rPr>
            </w:pPr>
          </w:p>
          <w:p w14:paraId="069AD046" w14:textId="77777777" w:rsidR="009F2891" w:rsidRDefault="009F2891">
            <w:pPr>
              <w:widowControl w:val="0"/>
              <w:spacing w:after="0" w:line="240" w:lineRule="auto"/>
              <w:rPr>
                <w:color w:val="3E5C61"/>
              </w:rPr>
            </w:pPr>
          </w:p>
          <w:p w14:paraId="7C34B810" w14:textId="77777777" w:rsidR="009F2891" w:rsidRDefault="009F2891">
            <w:pPr>
              <w:widowControl w:val="0"/>
              <w:spacing w:after="0" w:line="240" w:lineRule="auto"/>
              <w:rPr>
                <w:color w:val="3E5C61"/>
              </w:rPr>
            </w:pPr>
          </w:p>
          <w:p w14:paraId="0D8630B7" w14:textId="77777777" w:rsidR="009F2891" w:rsidRDefault="009F2891">
            <w:pPr>
              <w:widowControl w:val="0"/>
              <w:spacing w:after="0" w:line="240" w:lineRule="auto"/>
              <w:rPr>
                <w:color w:val="3E5C61"/>
              </w:rPr>
            </w:pPr>
          </w:p>
          <w:p w14:paraId="70078A1C" w14:textId="77777777" w:rsidR="009F2891" w:rsidRDefault="009F2891">
            <w:pPr>
              <w:widowControl w:val="0"/>
              <w:spacing w:after="0" w:line="240" w:lineRule="auto"/>
              <w:rPr>
                <w:color w:val="3E5C61"/>
              </w:rPr>
            </w:pPr>
          </w:p>
          <w:p w14:paraId="6C4A45C3" w14:textId="77777777" w:rsidR="009F2891" w:rsidRDefault="009F2891">
            <w:pPr>
              <w:widowControl w:val="0"/>
              <w:spacing w:after="0" w:line="240" w:lineRule="auto"/>
              <w:rPr>
                <w:color w:val="3E5C61"/>
              </w:rPr>
            </w:pPr>
          </w:p>
          <w:p w14:paraId="786331C3" w14:textId="77777777" w:rsidR="009F2891" w:rsidRDefault="009F2891">
            <w:pPr>
              <w:widowControl w:val="0"/>
              <w:spacing w:after="0" w:line="240" w:lineRule="auto"/>
              <w:rPr>
                <w:color w:val="3E5C61"/>
              </w:rPr>
            </w:pPr>
          </w:p>
          <w:p w14:paraId="107903A6" w14:textId="77777777" w:rsidR="009F2891" w:rsidRDefault="009F2891">
            <w:pPr>
              <w:widowControl w:val="0"/>
              <w:spacing w:after="0" w:line="240" w:lineRule="auto"/>
              <w:rPr>
                <w:color w:val="3E5C61"/>
              </w:rPr>
            </w:pPr>
          </w:p>
        </w:tc>
      </w:tr>
    </w:tbl>
    <w:p w14:paraId="2C8EF87D" w14:textId="77777777" w:rsidR="00EC4307" w:rsidRDefault="00EC4307">
      <w:pPr>
        <w:pStyle w:val="Heading1"/>
        <w:spacing w:line="240" w:lineRule="auto"/>
        <w:rPr>
          <w:szCs w:val="24"/>
        </w:rPr>
      </w:pPr>
    </w:p>
    <w:p w14:paraId="320FBB16" w14:textId="77777777" w:rsidR="00EC4307" w:rsidRDefault="00EC4307" w:rsidP="00EC4307">
      <w:pPr>
        <w:pStyle w:val="BodyText"/>
        <w:rPr>
          <w:rFonts w:asciiTheme="majorHAnsi" w:eastAsiaTheme="majorEastAsia" w:hAnsiTheme="majorHAnsi" w:cstheme="majorBidi"/>
          <w:color w:val="910D28" w:themeColor="accent1"/>
          <w:shd w:val="clear" w:color="auto" w:fill="FFFFFF"/>
        </w:rPr>
      </w:pPr>
      <w:r>
        <w:br w:type="page"/>
      </w:r>
    </w:p>
    <w:p w14:paraId="0EBB0DE2" w14:textId="03DF8C23" w:rsidR="009F2891" w:rsidRPr="00EC4307" w:rsidRDefault="0041591A">
      <w:pPr>
        <w:pStyle w:val="Heading1"/>
        <w:spacing w:line="240" w:lineRule="auto"/>
        <w:rPr>
          <w:szCs w:val="24"/>
        </w:rPr>
      </w:pPr>
      <w:r w:rsidRPr="00EC4307">
        <w:rPr>
          <w:szCs w:val="24"/>
        </w:rPr>
        <w:lastRenderedPageBreak/>
        <w:t>The Growth of HBCUs   </w:t>
      </w:r>
    </w:p>
    <w:p w14:paraId="39105538" w14:textId="65868928" w:rsidR="009F2891" w:rsidRDefault="0041591A" w:rsidP="007B7EF4">
      <w:pPr>
        <w:spacing w:line="240" w:lineRule="auto"/>
        <w:jc w:val="both"/>
        <w:rPr>
          <w:sz w:val="22"/>
          <w:szCs w:val="22"/>
        </w:rPr>
      </w:pPr>
      <w:r>
        <w:rPr>
          <w:sz w:val="22"/>
          <w:szCs w:val="22"/>
        </w:rPr>
        <w:t>Seeing a need and opportunity for reform, Quaker philanthropist Richard Humphreys founded the Institute for Colored Youth in Cheyney</w:t>
      </w:r>
      <w:r w:rsidR="007B7EF4">
        <w:rPr>
          <w:sz w:val="22"/>
          <w:szCs w:val="22"/>
        </w:rPr>
        <w:t>,</w:t>
      </w:r>
      <w:r>
        <w:rPr>
          <w:sz w:val="22"/>
          <w:szCs w:val="22"/>
        </w:rPr>
        <w:t xml:space="preserve"> Pennsylvania</w:t>
      </w:r>
      <w:r w:rsidR="007B7EF4">
        <w:rPr>
          <w:sz w:val="22"/>
          <w:szCs w:val="22"/>
        </w:rPr>
        <w:t>,</w:t>
      </w:r>
      <w:r>
        <w:rPr>
          <w:sz w:val="22"/>
          <w:szCs w:val="22"/>
        </w:rPr>
        <w:t xml:space="preserve"> in 1837. He wanted to create an institution for formerly enslaved African Americans to learn basic skills like reading, writing and math so they could become equipped for the world that they were entering as free people. The Institute eventually became Cheyney University of Pennsylvania, the first HBCU.    </w:t>
      </w:r>
    </w:p>
    <w:p w14:paraId="42A20F13" w14:textId="77777777" w:rsidR="009F2891" w:rsidRDefault="0041591A" w:rsidP="007B7EF4">
      <w:pPr>
        <w:spacing w:line="240" w:lineRule="auto"/>
        <w:jc w:val="both"/>
        <w:rPr>
          <w:sz w:val="22"/>
          <w:szCs w:val="22"/>
        </w:rPr>
      </w:pPr>
      <w:r>
        <w:rPr>
          <w:sz w:val="22"/>
          <w:szCs w:val="22"/>
        </w:rPr>
        <w:t>Gradually, more universities were established with a large surge of new institutions coming into existence after the passing of the Second Morrill Act of 1890. The act required states that supported racial segregation in schools to create and fund public institutions for Black students. Schools that served Black communities faced many hurdles with funding and access to resources being a major barrier. This increase in funding led to more Black people attending college and thus a need for more schools.  </w:t>
      </w:r>
    </w:p>
    <w:p w14:paraId="5E291B8D" w14:textId="77777777" w:rsidR="009F2891" w:rsidRDefault="0041591A" w:rsidP="007B7EF4">
      <w:pPr>
        <w:spacing w:line="240" w:lineRule="auto"/>
        <w:jc w:val="both"/>
        <w:rPr>
          <w:sz w:val="20"/>
          <w:szCs w:val="20"/>
        </w:rPr>
      </w:pPr>
      <w:r>
        <w:rPr>
          <w:sz w:val="22"/>
          <w:szCs w:val="22"/>
        </w:rPr>
        <w:t>Even after segregation ended in 1964, predominantly Black Institutions (PBIs) opened with the intention of using education to further uplift Black people economically and socially. PBIs are now considered HBCUs, as the terms are interchangeable. Currently, 107 HBCUs are located throughout the United States.  </w:t>
      </w:r>
    </w:p>
    <w:tbl>
      <w:tblPr>
        <w:tblStyle w:val="a1"/>
        <w:tblW w:w="93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8040"/>
      </w:tblGrid>
      <w:tr w:rsidR="00EC4307" w14:paraId="4AAA74E2" w14:textId="77777777" w:rsidTr="00EC4307">
        <w:trPr>
          <w:trHeight w:val="3030"/>
        </w:trPr>
        <w:tc>
          <w:tcPr>
            <w:tcW w:w="1320"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6A12CD48" w14:textId="77777777" w:rsidR="009F2891" w:rsidRDefault="0041591A">
            <w:pPr>
              <w:widowControl w:val="0"/>
              <w:spacing w:after="0" w:line="240" w:lineRule="auto"/>
              <w:jc w:val="center"/>
              <w:rPr>
                <w:b/>
                <w:i/>
                <w:color w:val="3E5C61"/>
                <w:sz w:val="28"/>
                <w:szCs w:val="28"/>
              </w:rPr>
            </w:pPr>
            <w:r>
              <w:rPr>
                <w:noProof/>
              </w:rPr>
              <w:drawing>
                <wp:anchor distT="0" distB="0" distL="0" distR="0" simplePos="0" relativeHeight="251659264" behindDoc="0" locked="0" layoutInCell="1" hidden="0" allowOverlap="1" wp14:anchorId="1AB6BAE3" wp14:editId="6F2C6549">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13"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7"/>
                          <a:srcRect/>
                          <a:stretch>
                            <a:fillRect/>
                          </a:stretch>
                        </pic:blipFill>
                        <pic:spPr>
                          <a:xfrm>
                            <a:off x="0" y="0"/>
                            <a:ext cx="614363" cy="614363"/>
                          </a:xfrm>
                          <a:prstGeom prst="rect">
                            <a:avLst/>
                          </a:prstGeom>
                          <a:ln/>
                        </pic:spPr>
                      </pic:pic>
                    </a:graphicData>
                  </a:graphic>
                </wp:anchor>
              </w:drawing>
            </w:r>
          </w:p>
        </w:tc>
        <w:tc>
          <w:tcPr>
            <w:tcW w:w="8040"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6E5A33EC" w14:textId="77777777" w:rsidR="009F2891" w:rsidRDefault="0041591A">
            <w:pPr>
              <w:widowControl w:val="0"/>
              <w:spacing w:after="0" w:line="240" w:lineRule="auto"/>
              <w:rPr>
                <w:i/>
                <w:color w:val="3E5C61"/>
                <w:sz w:val="28"/>
                <w:szCs w:val="28"/>
              </w:rPr>
            </w:pPr>
            <w:r>
              <w:rPr>
                <w:b/>
                <w:i/>
                <w:color w:val="3E5C61"/>
                <w:sz w:val="28"/>
                <w:szCs w:val="28"/>
              </w:rPr>
              <w:t xml:space="preserve">Stop and Jot </w:t>
            </w:r>
          </w:p>
          <w:p w14:paraId="1586CCBD" w14:textId="77777777" w:rsidR="009F2891" w:rsidRDefault="009F2891">
            <w:pPr>
              <w:widowControl w:val="0"/>
              <w:spacing w:after="0" w:line="240" w:lineRule="auto"/>
              <w:rPr>
                <w:color w:val="3E5C61"/>
              </w:rPr>
            </w:pPr>
          </w:p>
          <w:p w14:paraId="6F6926A1" w14:textId="77777777" w:rsidR="009F2891" w:rsidRDefault="009F2891">
            <w:pPr>
              <w:widowControl w:val="0"/>
              <w:spacing w:after="0" w:line="240" w:lineRule="auto"/>
              <w:rPr>
                <w:color w:val="3E5C61"/>
              </w:rPr>
            </w:pPr>
          </w:p>
          <w:p w14:paraId="2FFBE2A1" w14:textId="77777777" w:rsidR="009F2891" w:rsidRDefault="009F2891">
            <w:pPr>
              <w:widowControl w:val="0"/>
              <w:spacing w:after="0" w:line="240" w:lineRule="auto"/>
              <w:rPr>
                <w:color w:val="3E5C61"/>
              </w:rPr>
            </w:pPr>
          </w:p>
          <w:p w14:paraId="6D3202F1" w14:textId="77777777" w:rsidR="009F2891" w:rsidRDefault="009F2891">
            <w:pPr>
              <w:widowControl w:val="0"/>
              <w:spacing w:after="0" w:line="240" w:lineRule="auto"/>
              <w:rPr>
                <w:color w:val="3E5C61"/>
              </w:rPr>
            </w:pPr>
          </w:p>
          <w:p w14:paraId="32A7CA31" w14:textId="77777777" w:rsidR="009F2891" w:rsidRDefault="009F2891">
            <w:pPr>
              <w:widowControl w:val="0"/>
              <w:spacing w:after="0" w:line="240" w:lineRule="auto"/>
              <w:rPr>
                <w:color w:val="3E5C61"/>
              </w:rPr>
            </w:pPr>
          </w:p>
          <w:p w14:paraId="6A049057" w14:textId="77777777" w:rsidR="009F2891" w:rsidRDefault="009F2891">
            <w:pPr>
              <w:widowControl w:val="0"/>
              <w:spacing w:after="0" w:line="240" w:lineRule="auto"/>
              <w:rPr>
                <w:color w:val="3E5C61"/>
              </w:rPr>
            </w:pPr>
          </w:p>
          <w:p w14:paraId="4C2251F1" w14:textId="77777777" w:rsidR="009F2891" w:rsidRDefault="009F2891">
            <w:pPr>
              <w:widowControl w:val="0"/>
              <w:spacing w:after="0" w:line="240" w:lineRule="auto"/>
              <w:rPr>
                <w:color w:val="3E5C61"/>
              </w:rPr>
            </w:pPr>
          </w:p>
          <w:p w14:paraId="5BAE5973" w14:textId="77777777" w:rsidR="009F2891" w:rsidRDefault="009F2891">
            <w:pPr>
              <w:widowControl w:val="0"/>
              <w:spacing w:after="0" w:line="240" w:lineRule="auto"/>
              <w:rPr>
                <w:color w:val="3E5C61"/>
              </w:rPr>
            </w:pPr>
          </w:p>
        </w:tc>
      </w:tr>
    </w:tbl>
    <w:p w14:paraId="42E3243A" w14:textId="77777777" w:rsidR="00EC4307" w:rsidRDefault="00EC4307">
      <w:pPr>
        <w:pStyle w:val="Heading1"/>
        <w:spacing w:line="240" w:lineRule="auto"/>
        <w:rPr>
          <w:szCs w:val="24"/>
        </w:rPr>
      </w:pPr>
    </w:p>
    <w:p w14:paraId="379AD49C" w14:textId="77777777" w:rsidR="00EC4307" w:rsidRDefault="00EC4307" w:rsidP="00EC4307">
      <w:pPr>
        <w:pStyle w:val="BodyText"/>
        <w:rPr>
          <w:rFonts w:asciiTheme="majorHAnsi" w:eastAsiaTheme="majorEastAsia" w:hAnsiTheme="majorHAnsi" w:cstheme="majorBidi"/>
          <w:color w:val="910D28" w:themeColor="accent1"/>
          <w:shd w:val="clear" w:color="auto" w:fill="FFFFFF"/>
        </w:rPr>
      </w:pPr>
      <w:r>
        <w:br w:type="page"/>
      </w:r>
    </w:p>
    <w:p w14:paraId="0852CF5B" w14:textId="1EF1A6DB" w:rsidR="009F2891" w:rsidRPr="00EC4307" w:rsidRDefault="0041591A">
      <w:pPr>
        <w:pStyle w:val="Heading1"/>
        <w:spacing w:line="240" w:lineRule="auto"/>
        <w:rPr>
          <w:szCs w:val="24"/>
        </w:rPr>
      </w:pPr>
      <w:r w:rsidRPr="00EC4307">
        <w:rPr>
          <w:szCs w:val="24"/>
        </w:rPr>
        <w:lastRenderedPageBreak/>
        <w:t>The Impact of HBCUs Today    </w:t>
      </w:r>
    </w:p>
    <w:p w14:paraId="6BE993F2" w14:textId="77777777" w:rsidR="009F2891" w:rsidRDefault="0041591A" w:rsidP="007B7EF4">
      <w:pPr>
        <w:spacing w:line="240" w:lineRule="auto"/>
        <w:jc w:val="both"/>
        <w:rPr>
          <w:sz w:val="22"/>
          <w:szCs w:val="22"/>
        </w:rPr>
      </w:pPr>
      <w:r>
        <w:rPr>
          <w:sz w:val="22"/>
          <w:szCs w:val="22"/>
        </w:rPr>
        <w:t>While HBCUs are no longer the only path to higher education for people of African descent, due to the Civil Rights Act of 1964, Black students still attend them in increasing numbers. HBCUs remain a refuge for students to delve further into their cultural heritage and excel academically without fear of discrimination. </w:t>
      </w:r>
    </w:p>
    <w:p w14:paraId="7ADDAC76" w14:textId="77777777" w:rsidR="009F2891" w:rsidRDefault="0041591A" w:rsidP="007B7EF4">
      <w:pPr>
        <w:spacing w:line="240" w:lineRule="auto"/>
        <w:jc w:val="both"/>
        <w:rPr>
          <w:sz w:val="22"/>
          <w:szCs w:val="22"/>
        </w:rPr>
      </w:pPr>
      <w:r>
        <w:rPr>
          <w:sz w:val="22"/>
          <w:szCs w:val="22"/>
        </w:rPr>
        <w:t>Whether it’s the groundbreaking STEM and liberal arts programs, low-cost tuition, dynamic atmosphere, or large diversity of students and professors, students are looking to HBCUs for a quality education and reflective cultural experience. The institutions even attract students from other ethnic backgrounds. In 2018, non-Black students made up 24% of enrollment at HBCUs compared to 15% in 1976. </w:t>
      </w:r>
    </w:p>
    <w:p w14:paraId="252E2D52" w14:textId="592A0162" w:rsidR="009F2891" w:rsidRDefault="0041591A" w:rsidP="007B7EF4">
      <w:pPr>
        <w:spacing w:line="240" w:lineRule="auto"/>
        <w:jc w:val="both"/>
        <w:rPr>
          <w:sz w:val="22"/>
          <w:szCs w:val="22"/>
        </w:rPr>
      </w:pPr>
      <w:r>
        <w:rPr>
          <w:sz w:val="22"/>
          <w:szCs w:val="22"/>
        </w:rPr>
        <w:t>The growing enrollment of ethnically, religiously</w:t>
      </w:r>
      <w:r w:rsidR="007B7EF4">
        <w:rPr>
          <w:sz w:val="22"/>
          <w:szCs w:val="22"/>
        </w:rPr>
        <w:t>,</w:t>
      </w:r>
      <w:r>
        <w:rPr>
          <w:sz w:val="22"/>
          <w:szCs w:val="22"/>
        </w:rPr>
        <w:t xml:space="preserve"> and culturally diverse students at HBCUs encourage the federal government to respect and invest in the institutions. Legislation continues to pass that strengthens educational resources, increases administrative capacity</w:t>
      </w:r>
      <w:r w:rsidR="00C5166F">
        <w:rPr>
          <w:sz w:val="22"/>
          <w:szCs w:val="22"/>
        </w:rPr>
        <w:t>,</w:t>
      </w:r>
      <w:r>
        <w:rPr>
          <w:sz w:val="22"/>
          <w:szCs w:val="22"/>
        </w:rPr>
        <w:t xml:space="preserve"> and provides great financial assistance for students at these powerful think tanks. </w:t>
      </w:r>
    </w:p>
    <w:p w14:paraId="778D5F67" w14:textId="77777777" w:rsidR="009F2891" w:rsidRDefault="0041591A" w:rsidP="007B7EF4">
      <w:pPr>
        <w:spacing w:line="240" w:lineRule="auto"/>
        <w:jc w:val="both"/>
        <w:rPr>
          <w:sz w:val="20"/>
          <w:szCs w:val="20"/>
        </w:rPr>
      </w:pPr>
      <w:r>
        <w:rPr>
          <w:sz w:val="22"/>
          <w:szCs w:val="22"/>
        </w:rPr>
        <w:t>HBCUs are golden products of the African diaspora and symbols of the strength and resilience of Black people. Their rich culture and academic rigor have allowed them to persevere despite continued obstacles.</w:t>
      </w:r>
    </w:p>
    <w:tbl>
      <w:tblPr>
        <w:tblStyle w:val="a2"/>
        <w:tblW w:w="93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8040"/>
      </w:tblGrid>
      <w:tr w:rsidR="00EC4307" w14:paraId="1B6BEBD3" w14:textId="77777777" w:rsidTr="00EC4307">
        <w:trPr>
          <w:trHeight w:val="2250"/>
        </w:trPr>
        <w:tc>
          <w:tcPr>
            <w:tcW w:w="1320"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0591F09A" w14:textId="77777777" w:rsidR="009F2891" w:rsidRDefault="0041591A">
            <w:pPr>
              <w:widowControl w:val="0"/>
              <w:spacing w:after="0" w:line="240" w:lineRule="auto"/>
              <w:jc w:val="center"/>
              <w:rPr>
                <w:b/>
                <w:i/>
                <w:color w:val="3E5C61"/>
                <w:sz w:val="28"/>
                <w:szCs w:val="28"/>
              </w:rPr>
            </w:pPr>
            <w:r>
              <w:rPr>
                <w:noProof/>
              </w:rPr>
              <w:drawing>
                <wp:anchor distT="0" distB="0" distL="0" distR="0" simplePos="0" relativeHeight="251660288" behindDoc="0" locked="0" layoutInCell="1" hidden="0" allowOverlap="1" wp14:anchorId="1536A506" wp14:editId="6C658243">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11"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7"/>
                          <a:srcRect/>
                          <a:stretch>
                            <a:fillRect/>
                          </a:stretch>
                        </pic:blipFill>
                        <pic:spPr>
                          <a:xfrm>
                            <a:off x="0" y="0"/>
                            <a:ext cx="614363" cy="614363"/>
                          </a:xfrm>
                          <a:prstGeom prst="rect">
                            <a:avLst/>
                          </a:prstGeom>
                          <a:ln/>
                        </pic:spPr>
                      </pic:pic>
                    </a:graphicData>
                  </a:graphic>
                </wp:anchor>
              </w:drawing>
            </w:r>
          </w:p>
        </w:tc>
        <w:tc>
          <w:tcPr>
            <w:tcW w:w="8040"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4AC7F2ED" w14:textId="77777777" w:rsidR="009F2891" w:rsidRDefault="0041591A">
            <w:pPr>
              <w:widowControl w:val="0"/>
              <w:spacing w:after="0" w:line="240" w:lineRule="auto"/>
              <w:rPr>
                <w:i/>
                <w:color w:val="3E5C61"/>
                <w:sz w:val="28"/>
                <w:szCs w:val="28"/>
              </w:rPr>
            </w:pPr>
            <w:r>
              <w:rPr>
                <w:b/>
                <w:i/>
                <w:color w:val="3E5C61"/>
                <w:sz w:val="28"/>
                <w:szCs w:val="28"/>
              </w:rPr>
              <w:t xml:space="preserve">Stop and Jot </w:t>
            </w:r>
          </w:p>
          <w:p w14:paraId="73BF43AA" w14:textId="77777777" w:rsidR="009F2891" w:rsidRDefault="009F2891">
            <w:pPr>
              <w:widowControl w:val="0"/>
              <w:spacing w:after="0" w:line="240" w:lineRule="auto"/>
              <w:rPr>
                <w:color w:val="3E5C61"/>
              </w:rPr>
            </w:pPr>
          </w:p>
          <w:p w14:paraId="0B93BB3C" w14:textId="77777777" w:rsidR="009F2891" w:rsidRDefault="009F2891">
            <w:pPr>
              <w:widowControl w:val="0"/>
              <w:spacing w:after="0" w:line="240" w:lineRule="auto"/>
              <w:rPr>
                <w:color w:val="3E5C61"/>
              </w:rPr>
            </w:pPr>
          </w:p>
          <w:p w14:paraId="3D82A49E" w14:textId="77777777" w:rsidR="009F2891" w:rsidRDefault="009F2891">
            <w:pPr>
              <w:widowControl w:val="0"/>
              <w:spacing w:after="0" w:line="240" w:lineRule="auto"/>
              <w:rPr>
                <w:color w:val="3E5C61"/>
              </w:rPr>
            </w:pPr>
          </w:p>
          <w:p w14:paraId="57F22799" w14:textId="77777777" w:rsidR="009F2891" w:rsidRDefault="009F2891">
            <w:pPr>
              <w:widowControl w:val="0"/>
              <w:spacing w:after="0" w:line="240" w:lineRule="auto"/>
              <w:rPr>
                <w:color w:val="3E5C61"/>
              </w:rPr>
            </w:pPr>
          </w:p>
          <w:p w14:paraId="7FE60F7D" w14:textId="77777777" w:rsidR="009F2891" w:rsidRDefault="009F2891">
            <w:pPr>
              <w:widowControl w:val="0"/>
              <w:spacing w:after="0" w:line="240" w:lineRule="auto"/>
              <w:rPr>
                <w:color w:val="3E5C61"/>
              </w:rPr>
            </w:pPr>
          </w:p>
          <w:p w14:paraId="37ED38BB" w14:textId="77777777" w:rsidR="009F2891" w:rsidRDefault="009F2891">
            <w:pPr>
              <w:widowControl w:val="0"/>
              <w:spacing w:after="0" w:line="240" w:lineRule="auto"/>
              <w:rPr>
                <w:color w:val="3E5C61"/>
              </w:rPr>
            </w:pPr>
          </w:p>
          <w:p w14:paraId="22A61D66" w14:textId="77777777" w:rsidR="009F2891" w:rsidRDefault="009F2891">
            <w:pPr>
              <w:widowControl w:val="0"/>
              <w:spacing w:after="0" w:line="240" w:lineRule="auto"/>
              <w:rPr>
                <w:color w:val="3E5C61"/>
              </w:rPr>
            </w:pPr>
          </w:p>
          <w:p w14:paraId="59C2A61F" w14:textId="77777777" w:rsidR="009F2891" w:rsidRDefault="009F2891">
            <w:pPr>
              <w:widowControl w:val="0"/>
              <w:spacing w:after="0" w:line="240" w:lineRule="auto"/>
              <w:rPr>
                <w:color w:val="3E5C61"/>
              </w:rPr>
            </w:pPr>
          </w:p>
        </w:tc>
      </w:tr>
    </w:tbl>
    <w:p w14:paraId="1642BB19" w14:textId="77777777" w:rsidR="009F2891" w:rsidRDefault="009F2891">
      <w:pPr>
        <w:spacing w:line="225" w:lineRule="auto"/>
        <w:rPr>
          <w:i/>
          <w:color w:val="3E5C61"/>
          <w:sz w:val="18"/>
          <w:szCs w:val="18"/>
        </w:rPr>
      </w:pPr>
    </w:p>
    <w:p w14:paraId="19105F76" w14:textId="64F3FE36" w:rsidR="009F2891" w:rsidRDefault="009F2891">
      <w:pPr>
        <w:spacing w:line="225" w:lineRule="auto"/>
        <w:rPr>
          <w:i/>
          <w:color w:val="3E5C61"/>
          <w:sz w:val="18"/>
          <w:szCs w:val="18"/>
        </w:rPr>
      </w:pPr>
    </w:p>
    <w:p w14:paraId="78D42FED" w14:textId="77777777" w:rsidR="00E24B55" w:rsidRDefault="00E24B55">
      <w:pPr>
        <w:pStyle w:val="Heading1"/>
        <w:keepNext w:val="0"/>
        <w:keepLines w:val="0"/>
        <w:shd w:val="clear" w:color="auto" w:fill="FFFFFF"/>
        <w:spacing w:line="144" w:lineRule="auto"/>
        <w:rPr>
          <w:sz w:val="18"/>
          <w:szCs w:val="18"/>
          <w:shd w:val="clear" w:color="auto" w:fill="auto"/>
        </w:rPr>
      </w:pPr>
      <w:bookmarkStart w:id="1" w:name="_heading=h.e3sa4mmy91k1" w:colFirst="0" w:colLast="0"/>
      <w:bookmarkEnd w:id="1"/>
    </w:p>
    <w:p w14:paraId="45ECB319" w14:textId="77777777" w:rsidR="00E24B55" w:rsidRDefault="00E24B55">
      <w:pPr>
        <w:pStyle w:val="Heading1"/>
        <w:keepNext w:val="0"/>
        <w:keepLines w:val="0"/>
        <w:shd w:val="clear" w:color="auto" w:fill="FFFFFF"/>
        <w:spacing w:line="144" w:lineRule="auto"/>
        <w:rPr>
          <w:sz w:val="18"/>
          <w:szCs w:val="18"/>
          <w:shd w:val="clear" w:color="auto" w:fill="auto"/>
        </w:rPr>
      </w:pPr>
    </w:p>
    <w:p w14:paraId="1BB8678C" w14:textId="77777777" w:rsidR="00E24B55" w:rsidRDefault="00E24B55">
      <w:pPr>
        <w:pStyle w:val="Heading1"/>
        <w:keepNext w:val="0"/>
        <w:keepLines w:val="0"/>
        <w:shd w:val="clear" w:color="auto" w:fill="FFFFFF"/>
        <w:spacing w:line="144" w:lineRule="auto"/>
        <w:rPr>
          <w:sz w:val="18"/>
          <w:szCs w:val="18"/>
          <w:shd w:val="clear" w:color="auto" w:fill="auto"/>
        </w:rPr>
      </w:pPr>
    </w:p>
    <w:p w14:paraId="36CA0C3E" w14:textId="77777777" w:rsidR="00E24B55" w:rsidRDefault="00E24B55">
      <w:pPr>
        <w:pStyle w:val="Heading1"/>
        <w:keepNext w:val="0"/>
        <w:keepLines w:val="0"/>
        <w:shd w:val="clear" w:color="auto" w:fill="FFFFFF"/>
        <w:spacing w:line="144" w:lineRule="auto"/>
        <w:rPr>
          <w:sz w:val="18"/>
          <w:szCs w:val="18"/>
          <w:shd w:val="clear" w:color="auto" w:fill="auto"/>
        </w:rPr>
      </w:pPr>
    </w:p>
    <w:p w14:paraId="5E8A46A1" w14:textId="77777777" w:rsidR="00E24B55" w:rsidRDefault="00E24B55">
      <w:pPr>
        <w:pStyle w:val="Heading1"/>
        <w:keepNext w:val="0"/>
        <w:keepLines w:val="0"/>
        <w:shd w:val="clear" w:color="auto" w:fill="FFFFFF"/>
        <w:spacing w:line="144" w:lineRule="auto"/>
        <w:rPr>
          <w:sz w:val="18"/>
          <w:szCs w:val="18"/>
          <w:shd w:val="clear" w:color="auto" w:fill="auto"/>
        </w:rPr>
      </w:pPr>
    </w:p>
    <w:p w14:paraId="0086EBB2" w14:textId="77777777" w:rsidR="00E24B55" w:rsidRDefault="00E24B55">
      <w:pPr>
        <w:pStyle w:val="Heading1"/>
        <w:keepNext w:val="0"/>
        <w:keepLines w:val="0"/>
        <w:shd w:val="clear" w:color="auto" w:fill="FFFFFF"/>
        <w:spacing w:line="144" w:lineRule="auto"/>
        <w:rPr>
          <w:sz w:val="18"/>
          <w:szCs w:val="18"/>
          <w:shd w:val="clear" w:color="auto" w:fill="auto"/>
        </w:rPr>
      </w:pPr>
    </w:p>
    <w:p w14:paraId="2C160DDB" w14:textId="77777777" w:rsidR="00E24B55" w:rsidRDefault="00E24B55">
      <w:pPr>
        <w:pStyle w:val="Heading1"/>
        <w:keepNext w:val="0"/>
        <w:keepLines w:val="0"/>
        <w:shd w:val="clear" w:color="auto" w:fill="FFFFFF"/>
        <w:spacing w:line="144" w:lineRule="auto"/>
        <w:rPr>
          <w:sz w:val="18"/>
          <w:szCs w:val="18"/>
          <w:shd w:val="clear" w:color="auto" w:fill="auto"/>
        </w:rPr>
      </w:pPr>
    </w:p>
    <w:p w14:paraId="5691B62B" w14:textId="77777777" w:rsidR="00E24B55" w:rsidRDefault="00E24B55">
      <w:pPr>
        <w:pStyle w:val="Heading1"/>
        <w:keepNext w:val="0"/>
        <w:keepLines w:val="0"/>
        <w:shd w:val="clear" w:color="auto" w:fill="FFFFFF"/>
        <w:spacing w:line="144" w:lineRule="auto"/>
        <w:rPr>
          <w:sz w:val="18"/>
          <w:szCs w:val="18"/>
          <w:shd w:val="clear" w:color="auto" w:fill="auto"/>
        </w:rPr>
      </w:pPr>
    </w:p>
    <w:p w14:paraId="285B53C0" w14:textId="77777777" w:rsidR="00E24B55" w:rsidRDefault="00E24B55">
      <w:pPr>
        <w:pStyle w:val="Heading1"/>
        <w:keepNext w:val="0"/>
        <w:keepLines w:val="0"/>
        <w:shd w:val="clear" w:color="auto" w:fill="FFFFFF"/>
        <w:spacing w:line="144" w:lineRule="auto"/>
        <w:rPr>
          <w:sz w:val="18"/>
          <w:szCs w:val="18"/>
          <w:shd w:val="clear" w:color="auto" w:fill="auto"/>
        </w:rPr>
      </w:pPr>
    </w:p>
    <w:p w14:paraId="242B003F" w14:textId="2F06864F" w:rsidR="009F2891" w:rsidRDefault="00E24B55">
      <w:pPr>
        <w:pStyle w:val="Heading1"/>
        <w:keepNext w:val="0"/>
        <w:keepLines w:val="0"/>
        <w:shd w:val="clear" w:color="auto" w:fill="FFFFFF"/>
        <w:spacing w:line="144" w:lineRule="auto"/>
        <w:rPr>
          <w:sz w:val="18"/>
          <w:szCs w:val="18"/>
          <w:shd w:val="clear" w:color="auto" w:fill="auto"/>
        </w:rPr>
      </w:pPr>
      <w:r>
        <w:rPr>
          <w:sz w:val="18"/>
          <w:szCs w:val="18"/>
          <w:shd w:val="clear" w:color="auto" w:fill="auto"/>
        </w:rPr>
        <w:t>Source</w:t>
      </w:r>
    </w:p>
    <w:p w14:paraId="6B61993D" w14:textId="0C38BD8B" w:rsidR="00E24B55" w:rsidRPr="00E24B55" w:rsidRDefault="00E24B55" w:rsidP="00E24B55">
      <w:pPr>
        <w:pStyle w:val="Citation"/>
        <w:rPr>
          <w:lang w:val="es-MX"/>
        </w:rPr>
      </w:pPr>
      <w:r>
        <w:t xml:space="preserve">Reprinted from Edmonson, J. (n.d.). A Brief history: The rise of historically Black colleges and universities. </w:t>
      </w:r>
      <w:r w:rsidRPr="00E24B55">
        <w:rPr>
          <w:lang w:val="es-MX"/>
        </w:rPr>
        <w:t>LSU</w:t>
      </w:r>
      <w:r w:rsidRPr="00E24B55">
        <w:rPr>
          <w:lang w:val="es-MX"/>
        </w:rPr>
        <w:t xml:space="preserve">. </w:t>
      </w:r>
      <w:r w:rsidRPr="00E24B55">
        <w:rPr>
          <w:lang w:val="es-MX"/>
        </w:rPr>
        <w:t>https://www.lsu.edu/intlpro/apa/blog_posts/2021/hbcs_a_brief_history.php</w:t>
      </w:r>
    </w:p>
    <w:p w14:paraId="603B15B7" w14:textId="761EA896" w:rsidR="009F2891" w:rsidRPr="00E24B55" w:rsidRDefault="00C5166F" w:rsidP="00C5166F">
      <w:pPr>
        <w:tabs>
          <w:tab w:val="left" w:pos="5241"/>
        </w:tabs>
        <w:rPr>
          <w:lang w:val="es-MX"/>
        </w:rPr>
      </w:pPr>
      <w:r w:rsidRPr="00E24B55">
        <w:rPr>
          <w:lang w:val="es-MX"/>
        </w:rPr>
        <w:tab/>
      </w:r>
    </w:p>
    <w:sectPr w:rsidR="009F2891" w:rsidRPr="00E24B55">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D5E8" w14:textId="77777777" w:rsidR="00A53394" w:rsidRDefault="00A53394">
      <w:pPr>
        <w:spacing w:after="0" w:line="240" w:lineRule="auto"/>
      </w:pPr>
      <w:r>
        <w:separator/>
      </w:r>
    </w:p>
  </w:endnote>
  <w:endnote w:type="continuationSeparator" w:id="0">
    <w:p w14:paraId="66153907" w14:textId="77777777" w:rsidR="00A53394" w:rsidRDefault="00A5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3EB0" w14:textId="502FE298" w:rsidR="009F2891" w:rsidRDefault="00EC4307">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31C49125" wp14:editId="62447430">
              <wp:simplePos x="0" y="0"/>
              <wp:positionH relativeFrom="column">
                <wp:posOffset>1447800</wp:posOffset>
              </wp:positionH>
              <wp:positionV relativeFrom="paragraph">
                <wp:posOffset>-202565</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10C4A246" w14:textId="2B99950C" w:rsidR="009F2891" w:rsidRPr="00EC4307" w:rsidRDefault="00EC4307">
                          <w:pPr>
                            <w:spacing w:after="0" w:line="240" w:lineRule="auto"/>
                            <w:jc w:val="right"/>
                            <w:textDirection w:val="btLr"/>
                            <w:rPr>
                              <w:rFonts w:asciiTheme="majorHAnsi" w:hAnsiTheme="majorHAnsi" w:cstheme="majorHAnsi"/>
                            </w:rPr>
                          </w:pPr>
                          <w:r w:rsidRPr="00EC4307">
                            <w:rPr>
                              <w:rFonts w:asciiTheme="majorHAnsi" w:eastAsia="Arial" w:hAnsiTheme="majorHAnsi" w:cstheme="majorHAnsi"/>
                              <w:b/>
                              <w:smallCaps/>
                              <w:color w:val="2D2D2D"/>
                            </w:rPr>
                            <w:t>ROAD TRIP TO THE FUTURE</w:t>
                          </w:r>
                        </w:p>
                      </w:txbxContent>
                    </wps:txbx>
                    <wps:bodyPr spcFirstLastPara="1" wrap="square" lIns="91425" tIns="45700" rIns="91425" bIns="45700" anchor="t" anchorCtr="0">
                      <a:noAutofit/>
                    </wps:bodyPr>
                  </wps:wsp>
                </a:graphicData>
              </a:graphic>
            </wp:anchor>
          </w:drawing>
        </mc:Choice>
        <mc:Fallback>
          <w:pict>
            <v:rect w14:anchorId="31C49125" id="Rectangle 9" o:spid="_x0000_s1026" style="position:absolute;margin-left:114pt;margin-top:-15.95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" filled="f" stroked="f">
              <v:textbox inset="2.53958mm,1.2694mm,2.53958mm,1.2694mm">
                <w:txbxContent>
                  <w:p w14:paraId="10C4A246" w14:textId="2B99950C" w:rsidR="009F2891" w:rsidRPr="00EC4307" w:rsidRDefault="00EC4307">
                    <w:pPr>
                      <w:spacing w:after="0" w:line="240" w:lineRule="auto"/>
                      <w:jc w:val="right"/>
                      <w:textDirection w:val="btLr"/>
                      <w:rPr>
                        <w:rFonts w:asciiTheme="majorHAnsi" w:hAnsiTheme="majorHAnsi" w:cstheme="majorHAnsi"/>
                      </w:rPr>
                    </w:pPr>
                    <w:r w:rsidRPr="00EC4307">
                      <w:rPr>
                        <w:rFonts w:asciiTheme="majorHAnsi" w:eastAsia="Arial" w:hAnsiTheme="majorHAnsi" w:cstheme="majorHAnsi"/>
                        <w:b/>
                        <w:smallCaps/>
                        <w:color w:val="2D2D2D"/>
                      </w:rPr>
                      <w:t>ROAD TRIP TO THE FUTURE</w:t>
                    </w:r>
                  </w:p>
                </w:txbxContent>
              </v:textbox>
            </v:rect>
          </w:pict>
        </mc:Fallback>
      </mc:AlternateContent>
    </w:r>
    <w:r>
      <w:rPr>
        <w:noProof/>
      </w:rPr>
      <w:drawing>
        <wp:anchor distT="0" distB="0" distL="0" distR="0" simplePos="0" relativeHeight="251658240" behindDoc="1" locked="0" layoutInCell="1" hidden="0" allowOverlap="1" wp14:anchorId="42D5F3A1" wp14:editId="1A524C43">
          <wp:simplePos x="0" y="0"/>
          <wp:positionH relativeFrom="column">
            <wp:posOffset>1346200</wp:posOffset>
          </wp:positionH>
          <wp:positionV relativeFrom="paragraph">
            <wp:posOffset>-161290</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3FCE" w14:textId="77777777" w:rsidR="00A53394" w:rsidRDefault="00A53394">
      <w:pPr>
        <w:spacing w:after="0" w:line="240" w:lineRule="auto"/>
      </w:pPr>
      <w:r>
        <w:separator/>
      </w:r>
    </w:p>
  </w:footnote>
  <w:footnote w:type="continuationSeparator" w:id="0">
    <w:p w14:paraId="28A8699B" w14:textId="77777777" w:rsidR="00A53394" w:rsidRDefault="00A53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84D4" w14:textId="77777777" w:rsidR="009F2891" w:rsidRDefault="009F289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6EFC" w14:textId="77777777" w:rsidR="009F2891" w:rsidRDefault="009F2891"/>
  <w:p w14:paraId="7C0B946E" w14:textId="77777777" w:rsidR="009F2891" w:rsidRDefault="009F2891">
    <w:pPr>
      <w:pBdr>
        <w:top w:val="nil"/>
        <w:left w:val="nil"/>
        <w:bottom w:val="nil"/>
        <w:right w:val="nil"/>
        <w:between w:val="nil"/>
      </w:pBd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5F13" w14:textId="77777777" w:rsidR="009F2891" w:rsidRDefault="009F289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91"/>
    <w:rsid w:val="00261324"/>
    <w:rsid w:val="002F3C0F"/>
    <w:rsid w:val="0041591A"/>
    <w:rsid w:val="00527FFE"/>
    <w:rsid w:val="007B7EF4"/>
    <w:rsid w:val="009A05B1"/>
    <w:rsid w:val="009F2891"/>
    <w:rsid w:val="00A53394"/>
    <w:rsid w:val="00B07EC5"/>
    <w:rsid w:val="00B922A5"/>
    <w:rsid w:val="00C5166F"/>
    <w:rsid w:val="00E24B55"/>
    <w:rsid w:val="00EC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E862"/>
  <w15:docId w15:val="{EF8AEC97-31F8-6D41-9BF3-FCB2C54F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Emphasis">
    <w:name w:val="Emphasis"/>
    <w:basedOn w:val="DefaultParagraphFont"/>
    <w:uiPriority w:val="20"/>
    <w:qFormat/>
    <w:rsid w:val="000C12D7"/>
    <w:rPr>
      <w:i/>
      <w:iCs/>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S8PsC4VwU9tzJP2ZS6GAk6UiAQ==">AMUW2mXTG0hnjvOCbpXixYacgs1lu1EKmv2PxI+Sc74QaasDiCX2nEtkswmh3oL/Ycy9DwE2SMIwNAu45elRssi0M8ukvernirBz6hEFQ+EB8V8+B6cAPxgbGBnOSUIEFQkbfenBMC6a6q13HUpHIMJSGYXRstkE0A==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Daniella Peters</cp:lastModifiedBy>
  <cp:revision>5</cp:revision>
  <dcterms:created xsi:type="dcterms:W3CDTF">2022-09-26T15:39:00Z</dcterms:created>
  <dcterms:modified xsi:type="dcterms:W3CDTF">2023-02-01T00:08:00Z</dcterms:modified>
</cp:coreProperties>
</file>