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222927" w14:textId="77777777" w:rsidR="007750AD" w:rsidRPr="00CE5D18" w:rsidRDefault="00000000">
      <w:pPr>
        <w:pStyle w:val="Title"/>
        <w:rPr>
          <w:szCs w:val="32"/>
        </w:rPr>
      </w:pPr>
      <w:r w:rsidRPr="00CE5D18">
        <w:rPr>
          <w:szCs w:val="32"/>
        </w:rPr>
        <w:t>the rise of hispanic-serving institutions and the path forward</w:t>
      </w:r>
    </w:p>
    <w:p w14:paraId="3391956F" w14:textId="75E3EBF1" w:rsidR="007750AD" w:rsidRDefault="00000000">
      <w:pPr>
        <w:rPr>
          <w:rFonts w:ascii="Calibri" w:eastAsia="Calibri" w:hAnsi="Calibri" w:cs="Calibri"/>
        </w:rPr>
      </w:pPr>
      <w:r>
        <w:rPr>
          <w:rFonts w:ascii="Calibri" w:eastAsia="Calibri" w:hAnsi="Calibri" w:cs="Calibri"/>
        </w:rPr>
        <w:t>Hispanic-Serving Institutions make up 17</w:t>
      </w:r>
      <w:r w:rsidR="00D23DC1">
        <w:rPr>
          <w:rFonts w:ascii="Calibri" w:eastAsia="Calibri" w:hAnsi="Calibri" w:cs="Calibri"/>
        </w:rPr>
        <w:t>%</w:t>
      </w:r>
      <w:r>
        <w:rPr>
          <w:rFonts w:ascii="Calibri" w:eastAsia="Calibri" w:hAnsi="Calibri" w:cs="Calibri"/>
        </w:rPr>
        <w:t xml:space="preserve"> of all U.S. public and nonprofit colleges—yet they enroll 67</w:t>
      </w:r>
      <w:r w:rsidR="00D23DC1">
        <w:rPr>
          <w:rFonts w:ascii="Calibri" w:eastAsia="Calibri" w:hAnsi="Calibri" w:cs="Calibri"/>
        </w:rPr>
        <w:t>%</w:t>
      </w:r>
      <w:r>
        <w:rPr>
          <w:rFonts w:ascii="Calibri" w:eastAsia="Calibri" w:hAnsi="Calibri" w:cs="Calibri"/>
        </w:rPr>
        <w:t xml:space="preserve"> of all Hispanic and Latino undergraduates.</w:t>
      </w:r>
      <w:r>
        <w:rPr>
          <w:rFonts w:ascii="Calibri" w:eastAsia="Calibri" w:hAnsi="Calibri" w:cs="Calibri"/>
        </w:rPr>
        <w:br/>
      </w:r>
    </w:p>
    <w:p w14:paraId="731E9C1D" w14:textId="77777777" w:rsidR="007750AD" w:rsidRDefault="00000000">
      <w:pPr>
        <w:rPr>
          <w:rFonts w:ascii="Calibri" w:eastAsia="Calibri" w:hAnsi="Calibri" w:cs="Calibri"/>
        </w:rPr>
      </w:pPr>
      <w:r>
        <w:rPr>
          <w:rFonts w:ascii="Calibri" w:eastAsia="Calibri" w:hAnsi="Calibri" w:cs="Calibri"/>
        </w:rPr>
        <w:t>That data, published in April, underscores the huge responsibility facing the country’s more than 500 Hispanic-Serving Institutions, so designated because at least a quarter of their students are Hispanic. More colleges will soon join their ranks, as enrollment of Hispanic and Latino students in higher education is expected to exceed 4.4 million students by 2025. Already, more than 300 colleges are classified as “emerging Hispanic-Serving Institutions.”</w:t>
      </w:r>
      <w:r>
        <w:rPr>
          <w:rFonts w:ascii="Calibri" w:eastAsia="Calibri" w:hAnsi="Calibri" w:cs="Calibri"/>
        </w:rPr>
        <w:br/>
      </w:r>
    </w:p>
    <w:p w14:paraId="7857E7BD" w14:textId="77777777" w:rsidR="007750AD" w:rsidRDefault="00000000">
      <w:pPr>
        <w:rPr>
          <w:rFonts w:ascii="Calibri" w:eastAsia="Calibri" w:hAnsi="Calibri" w:cs="Calibri"/>
        </w:rPr>
      </w:pPr>
      <w:r>
        <w:rPr>
          <w:rFonts w:ascii="Calibri" w:eastAsia="Calibri" w:hAnsi="Calibri" w:cs="Calibri"/>
        </w:rPr>
        <w:t>As institutions seek and ultimately gain HSI status, their leaders must fully embrace the responsibility of being Hispanic-serving—not merely Hispanic-dwelling—institutions. Education is the catalyst for change and economic mobility in this country, and colleges must lead the fight to ensure that all students receive a quality education and are provided with an infrastructure from which to propel their lives, and ultimately the lives of their families.</w:t>
      </w:r>
      <w:r>
        <w:rPr>
          <w:rFonts w:ascii="Calibri" w:eastAsia="Calibri" w:hAnsi="Calibri" w:cs="Calibri"/>
        </w:rPr>
        <w:br/>
      </w:r>
    </w:p>
    <w:p w14:paraId="5F622A61" w14:textId="77777777" w:rsidR="007750AD" w:rsidRDefault="00000000">
      <w:pPr>
        <w:rPr>
          <w:rFonts w:ascii="Calibri" w:eastAsia="Calibri" w:hAnsi="Calibri" w:cs="Calibri"/>
        </w:rPr>
      </w:pPr>
      <w:r>
        <w:rPr>
          <w:rFonts w:ascii="Calibri" w:eastAsia="Calibri" w:hAnsi="Calibri" w:cs="Calibri"/>
        </w:rPr>
        <w:t>As American civil rights activist Cesar Chavez said, “Once social change begins, it cannot be reversed. You cannot un-educate the person who has learned to read. You cannot humiliate the person who feels pride. You cannot oppress the people who are not afraid anymore.”</w:t>
      </w:r>
    </w:p>
    <w:p w14:paraId="6CF8E9EE" w14:textId="24334866" w:rsidR="00D23DC1" w:rsidRDefault="00000000">
      <w:pPr>
        <w:rPr>
          <w:rFonts w:ascii="Calibri" w:eastAsia="Calibri" w:hAnsi="Calibri" w:cs="Calibri"/>
        </w:rPr>
      </w:pPr>
      <w:r>
        <w:rPr>
          <w:rFonts w:ascii="Calibri" w:eastAsia="Calibri" w:hAnsi="Calibri" w:cs="Calibri"/>
        </w:rPr>
        <w:t>Hispanic-Serving Institutions have the power to unlock that social change. To do so, they need strategic commitment to student success, economic equity and mobility, and inclusive excellence.</w:t>
      </w:r>
    </w:p>
    <w:tbl>
      <w:tblPr>
        <w:tblStyle w:val="a0"/>
        <w:tblW w:w="9974" w:type="dxa"/>
        <w:tblLayout w:type="fixed"/>
        <w:tblLook w:val="0400" w:firstRow="0" w:lastRow="0" w:firstColumn="0" w:lastColumn="0" w:noHBand="0" w:noVBand="1"/>
      </w:tblPr>
      <w:tblGrid>
        <w:gridCol w:w="2037"/>
        <w:gridCol w:w="7937"/>
      </w:tblGrid>
      <w:tr w:rsidR="007750AD" w14:paraId="307E4F64" w14:textId="77777777">
        <w:trPr>
          <w:trHeight w:val="3177"/>
        </w:trPr>
        <w:tc>
          <w:tcPr>
            <w:tcW w:w="2037" w:type="dxa"/>
            <w:tcBorders>
              <w:top w:val="single" w:sz="24" w:space="0" w:color="FFFFFF"/>
              <w:left w:val="single" w:sz="24" w:space="0" w:color="FFFFFF"/>
              <w:bottom w:val="single" w:sz="24" w:space="0" w:color="FFFFFF"/>
            </w:tcBorders>
            <w:shd w:val="clear" w:color="auto" w:fill="F3F3F3"/>
            <w:tcMar>
              <w:top w:w="100" w:type="dxa"/>
              <w:left w:w="100" w:type="dxa"/>
              <w:bottom w:w="100" w:type="dxa"/>
              <w:right w:w="100" w:type="dxa"/>
            </w:tcMar>
          </w:tcPr>
          <w:p w14:paraId="3B059CB1" w14:textId="77777777" w:rsidR="007750AD" w:rsidRDefault="00000000">
            <w:pPr>
              <w:rPr>
                <w:rFonts w:ascii="Calibri" w:eastAsia="Calibri" w:hAnsi="Calibri" w:cs="Calibri"/>
              </w:rPr>
            </w:pPr>
            <w:r>
              <w:rPr>
                <w:rFonts w:ascii="Calibri" w:eastAsia="Calibri" w:hAnsi="Calibri" w:cs="Calibri"/>
              </w:rPr>
              <w:br/>
            </w:r>
            <w:r>
              <w:rPr>
                <w:rFonts w:ascii="Calibri" w:eastAsia="Calibri" w:hAnsi="Calibri" w:cs="Calibri"/>
                <w:noProof/>
              </w:rPr>
              <w:drawing>
                <wp:inline distT="0" distB="0" distL="0" distR="0" wp14:anchorId="1F5F383F" wp14:editId="22FD795E">
                  <wp:extent cx="825500" cy="825500"/>
                  <wp:effectExtent l="0" t="0" r="0" b="0"/>
                  <wp:docPr id="14"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7"/>
                          <a:srcRect/>
                          <a:stretch>
                            <a:fillRect/>
                          </a:stretch>
                        </pic:blipFill>
                        <pic:spPr>
                          <a:xfrm>
                            <a:off x="0" y="0"/>
                            <a:ext cx="825500" cy="825500"/>
                          </a:xfrm>
                          <a:prstGeom prst="rect">
                            <a:avLst/>
                          </a:prstGeom>
                          <a:ln/>
                        </pic:spPr>
                      </pic:pic>
                    </a:graphicData>
                  </a:graphic>
                </wp:inline>
              </w:drawing>
            </w:r>
          </w:p>
        </w:tc>
        <w:tc>
          <w:tcPr>
            <w:tcW w:w="7937" w:type="dxa"/>
            <w:tcBorders>
              <w:top w:val="single" w:sz="24" w:space="0" w:color="FFFFFF"/>
              <w:bottom w:val="single" w:sz="24" w:space="0" w:color="FFFFFF"/>
              <w:right w:val="single" w:sz="24" w:space="0" w:color="FFFFFF"/>
            </w:tcBorders>
            <w:shd w:val="clear" w:color="auto" w:fill="F3F3F3"/>
            <w:tcMar>
              <w:top w:w="100" w:type="dxa"/>
              <w:left w:w="100" w:type="dxa"/>
              <w:bottom w:w="100" w:type="dxa"/>
              <w:right w:w="100" w:type="dxa"/>
            </w:tcMar>
          </w:tcPr>
          <w:p w14:paraId="61590E16" w14:textId="77777777" w:rsidR="007750AD"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b/>
                <w:i/>
                <w:color w:val="3E5C61"/>
                <w:sz w:val="28"/>
                <w:szCs w:val="28"/>
              </w:rPr>
              <w:t xml:space="preserve">Stop and </w:t>
            </w:r>
            <w:proofErr w:type="gramStart"/>
            <w:r>
              <w:rPr>
                <w:rFonts w:ascii="Calibri" w:eastAsia="Calibri" w:hAnsi="Calibri" w:cs="Calibri"/>
                <w:b/>
                <w:i/>
                <w:color w:val="3E5C61"/>
                <w:sz w:val="28"/>
                <w:szCs w:val="28"/>
              </w:rPr>
              <w:t>Jot</w:t>
            </w:r>
            <w:proofErr w:type="gramEnd"/>
            <w:r>
              <w:rPr>
                <w:rFonts w:ascii="Calibri" w:eastAsia="Calibri" w:hAnsi="Calibri" w:cs="Calibri"/>
                <w:b/>
                <w:i/>
                <w:color w:val="3E5C61"/>
                <w:sz w:val="28"/>
                <w:szCs w:val="28"/>
              </w:rPr>
              <w:t xml:space="preserve"> </w:t>
            </w:r>
            <w:r>
              <w:rPr>
                <w:rFonts w:ascii="Calibri" w:eastAsia="Calibri" w:hAnsi="Calibri" w:cs="Calibri"/>
                <w:i/>
                <w:color w:val="3E5C61"/>
                <w:sz w:val="28"/>
                <w:szCs w:val="28"/>
              </w:rPr>
              <w:t>your thoughts on the reading so far: </w:t>
            </w:r>
          </w:p>
        </w:tc>
      </w:tr>
    </w:tbl>
    <w:p w14:paraId="78B86A4B" w14:textId="77777777" w:rsidR="007750AD" w:rsidRPr="00D23DC1" w:rsidRDefault="007750AD">
      <w:pPr>
        <w:pBdr>
          <w:top w:val="nil"/>
          <w:left w:val="nil"/>
          <w:bottom w:val="nil"/>
          <w:right w:val="nil"/>
          <w:between w:val="nil"/>
        </w:pBdr>
        <w:spacing w:after="120" w:line="276" w:lineRule="auto"/>
        <w:rPr>
          <w:rFonts w:ascii="Calibri" w:eastAsia="Calibri" w:hAnsi="Calibri" w:cs="Calibri"/>
          <w:color w:val="000000"/>
          <w:sz w:val="20"/>
          <w:szCs w:val="20"/>
        </w:rPr>
      </w:pPr>
    </w:p>
    <w:p w14:paraId="55D2BD93" w14:textId="77777777" w:rsidR="007750AD" w:rsidRDefault="00000000">
      <w:pPr>
        <w:pStyle w:val="Heading1"/>
      </w:pPr>
      <w:r>
        <w:t>The History of Hispanic-Serving Institutions</w:t>
      </w:r>
    </w:p>
    <w:p w14:paraId="10BF93D6" w14:textId="77777777" w:rsidR="007750AD" w:rsidRDefault="00000000">
      <w:pPr>
        <w:rPr>
          <w:rFonts w:ascii="Calibri" w:eastAsia="Calibri" w:hAnsi="Calibri" w:cs="Calibri"/>
        </w:rPr>
      </w:pPr>
      <w:r>
        <w:rPr>
          <w:rFonts w:ascii="Calibri" w:eastAsia="Calibri" w:hAnsi="Calibri" w:cs="Calibri"/>
        </w:rPr>
        <w:t xml:space="preserve">The story of HSIs is one of opportunity, </w:t>
      </w:r>
      <w:proofErr w:type="gramStart"/>
      <w:r>
        <w:rPr>
          <w:rFonts w:ascii="Calibri" w:eastAsia="Calibri" w:hAnsi="Calibri" w:cs="Calibri"/>
        </w:rPr>
        <w:t>triumph</w:t>
      </w:r>
      <w:proofErr w:type="gramEnd"/>
      <w:r>
        <w:rPr>
          <w:rFonts w:ascii="Calibri" w:eastAsia="Calibri" w:hAnsi="Calibri" w:cs="Calibri"/>
        </w:rPr>
        <w:t xml:space="preserve"> and the American dream. The national embrace of these institutions represents a societal</w:t>
      </w:r>
      <w:r>
        <w:rPr>
          <w:rFonts w:ascii="Calibri" w:eastAsia="Calibri" w:hAnsi="Calibri" w:cs="Calibri"/>
          <w:color w:val="2D3237"/>
          <w:sz w:val="29"/>
          <w:szCs w:val="29"/>
        </w:rPr>
        <w:t xml:space="preserve"> </w:t>
      </w:r>
      <w:r>
        <w:rPr>
          <w:rFonts w:ascii="Calibri" w:eastAsia="Calibri" w:hAnsi="Calibri" w:cs="Calibri"/>
        </w:rPr>
        <w:t>change 30-plus years in the making—a shift that should not be taken for granted.</w:t>
      </w:r>
      <w:r>
        <w:rPr>
          <w:rFonts w:ascii="Calibri" w:eastAsia="Calibri" w:hAnsi="Calibri" w:cs="Calibri"/>
        </w:rPr>
        <w:br/>
      </w:r>
    </w:p>
    <w:p w14:paraId="20972DA5" w14:textId="77777777" w:rsidR="007750AD" w:rsidRDefault="007750AD">
      <w:pPr>
        <w:rPr>
          <w:rFonts w:ascii="Calibri" w:eastAsia="Calibri" w:hAnsi="Calibri" w:cs="Calibri"/>
        </w:rPr>
      </w:pPr>
    </w:p>
    <w:p w14:paraId="62BECF8E" w14:textId="77777777" w:rsidR="007750AD" w:rsidRDefault="00000000">
      <w:pPr>
        <w:rPr>
          <w:rFonts w:ascii="Calibri" w:eastAsia="Calibri" w:hAnsi="Calibri" w:cs="Calibri"/>
        </w:rPr>
      </w:pPr>
      <w:r>
        <w:rPr>
          <w:rFonts w:ascii="Calibri" w:eastAsia="Calibri" w:hAnsi="Calibri" w:cs="Calibri"/>
        </w:rPr>
        <w:t>According to the U.S. Office of Management and Budget, a person who identifies as Hispanic or Latino is someone of Cuban, Mexican, Puerto Rican, South or Central American, or other Spanish-culture heritage, regardless of race. That definition developed over time. Around the time President Lyndon B. Johnson proclaimed the week beginning September 15, 1968, as National Hispanic Heritage Week, a revolution was underway within the U.S. Census Bureau as to how Hispanics should be accounted for within the U.S.</w:t>
      </w:r>
      <w:r>
        <w:rPr>
          <w:rFonts w:ascii="Calibri" w:eastAsia="Calibri" w:hAnsi="Calibri" w:cs="Calibri"/>
        </w:rPr>
        <w:br/>
      </w:r>
    </w:p>
    <w:p w14:paraId="4D2D78C4" w14:textId="77777777" w:rsidR="007750AD" w:rsidRDefault="00000000">
      <w:pPr>
        <w:rPr>
          <w:rFonts w:ascii="Calibri" w:eastAsia="Calibri" w:hAnsi="Calibri" w:cs="Calibri"/>
        </w:rPr>
      </w:pPr>
      <w:r>
        <w:rPr>
          <w:rFonts w:ascii="Calibri" w:eastAsia="Calibri" w:hAnsi="Calibri" w:cs="Calibri"/>
        </w:rPr>
        <w:t>According to the Population Reference Bureau, prior to the 1970 census, Hispanics were not counted as a single group. In fact, the question on Hispanic origin was added to the survey in spring 1969, late in the planning process. The inaugural Hispanic census question resulted in a total of 9.6 million Hispanics recorded as living in the U.S. as of 1970,</w:t>
      </w:r>
      <w:r>
        <w:rPr>
          <w:rFonts w:ascii="Calibri" w:eastAsia="Calibri" w:hAnsi="Calibri" w:cs="Calibri"/>
          <w:color w:val="2D3237"/>
          <w:sz w:val="29"/>
          <w:szCs w:val="29"/>
        </w:rPr>
        <w:t xml:space="preserve"> </w:t>
      </w:r>
      <w:r>
        <w:rPr>
          <w:rFonts w:ascii="Calibri" w:eastAsia="Calibri" w:hAnsi="Calibri" w:cs="Calibri"/>
        </w:rPr>
        <w:t>according to Pew Research Center. Ten years later in 1980, the Hispanic population was tallied at 14.5 million.</w:t>
      </w:r>
      <w:r>
        <w:rPr>
          <w:rFonts w:ascii="Calibri" w:eastAsia="Calibri" w:hAnsi="Calibri" w:cs="Calibri"/>
        </w:rPr>
        <w:br/>
      </w:r>
    </w:p>
    <w:p w14:paraId="647ECC8B" w14:textId="77777777" w:rsidR="007750AD" w:rsidRDefault="00000000">
      <w:pPr>
        <w:rPr>
          <w:rFonts w:ascii="Calibri" w:eastAsia="Calibri" w:hAnsi="Calibri" w:cs="Calibri"/>
        </w:rPr>
      </w:pPr>
      <w:r>
        <w:rPr>
          <w:rFonts w:ascii="Calibri" w:eastAsia="Calibri" w:hAnsi="Calibri" w:cs="Calibri"/>
        </w:rPr>
        <w:t>Unlike Historically Black Colleges and Universities, Hispanic-Serving Institutions were not created to exclusively educate students of Hispanic or Latino origin. Instead, HSIs first began as a grassroots movement in the 1980s due to the shifts in demography and the increase in Hispanic enrollment in higher education, according to research published by the American Council on Education.</w:t>
      </w:r>
      <w:r>
        <w:rPr>
          <w:rFonts w:ascii="Calibri" w:eastAsia="Calibri" w:hAnsi="Calibri" w:cs="Calibri"/>
        </w:rPr>
        <w:br/>
      </w:r>
    </w:p>
    <w:p w14:paraId="6F79EC6D" w14:textId="77777777" w:rsidR="007750AD" w:rsidRDefault="00000000">
      <w:pPr>
        <w:rPr>
          <w:rFonts w:ascii="Calibri" w:eastAsia="Calibri" w:hAnsi="Calibri" w:cs="Calibri"/>
        </w:rPr>
      </w:pPr>
      <w:r>
        <w:rPr>
          <w:rFonts w:ascii="Calibri" w:eastAsia="Calibri" w:hAnsi="Calibri" w:cs="Calibri"/>
        </w:rPr>
        <w:t>However, it is important to note that at this time, “Hispanic-Serving Institution” was an institutional term that had not breached mainstream. That is, until the Hispanic Association of Colleges and Universities was founded in 1986 thanks to efforts out of Our Lady of the Lake University. In 1992, the organization led the effort asking Congress to officially recognize campuses with significant Hispanic enrollment as federally designated Hispanic-Serving Institutions and to begin targeting federal appropriations to those campuses. In 1995, HSIs were granted $12 million from the federal government to champion Hispanic success in higher education. Most recently, HSIs were appropriated more than $140 million in 2020.</w:t>
      </w:r>
    </w:p>
    <w:p w14:paraId="336FFC12" w14:textId="77777777" w:rsidR="007750AD" w:rsidRDefault="007750AD">
      <w:pPr>
        <w:rPr>
          <w:rFonts w:ascii="Calibri" w:eastAsia="Calibri" w:hAnsi="Calibri" w:cs="Calibri"/>
        </w:rPr>
      </w:pPr>
    </w:p>
    <w:tbl>
      <w:tblPr>
        <w:tblStyle w:val="a1"/>
        <w:tblW w:w="9974" w:type="dxa"/>
        <w:tblLayout w:type="fixed"/>
        <w:tblLook w:val="0400" w:firstRow="0" w:lastRow="0" w:firstColumn="0" w:lastColumn="0" w:noHBand="0" w:noVBand="1"/>
      </w:tblPr>
      <w:tblGrid>
        <w:gridCol w:w="2037"/>
        <w:gridCol w:w="7937"/>
      </w:tblGrid>
      <w:tr w:rsidR="007750AD" w14:paraId="5F104BB1" w14:textId="77777777">
        <w:trPr>
          <w:trHeight w:val="3177"/>
        </w:trPr>
        <w:tc>
          <w:tcPr>
            <w:tcW w:w="2037" w:type="dxa"/>
            <w:tcBorders>
              <w:top w:val="single" w:sz="24" w:space="0" w:color="FFFFFF"/>
              <w:left w:val="single" w:sz="24" w:space="0" w:color="FFFFFF"/>
              <w:bottom w:val="single" w:sz="24" w:space="0" w:color="FFFFFF"/>
            </w:tcBorders>
            <w:shd w:val="clear" w:color="auto" w:fill="F3F3F3"/>
            <w:tcMar>
              <w:top w:w="100" w:type="dxa"/>
              <w:left w:w="100" w:type="dxa"/>
              <w:bottom w:w="100" w:type="dxa"/>
              <w:right w:w="100" w:type="dxa"/>
            </w:tcMar>
          </w:tcPr>
          <w:p w14:paraId="6A261CB9" w14:textId="77777777" w:rsidR="007750AD" w:rsidRDefault="00000000">
            <w:pPr>
              <w:rPr>
                <w:rFonts w:ascii="Calibri" w:eastAsia="Calibri" w:hAnsi="Calibri" w:cs="Calibri"/>
              </w:rPr>
            </w:pPr>
            <w:r>
              <w:rPr>
                <w:rFonts w:ascii="Calibri" w:eastAsia="Calibri" w:hAnsi="Calibri" w:cs="Calibri"/>
              </w:rPr>
              <w:br/>
            </w:r>
            <w:r>
              <w:rPr>
                <w:rFonts w:ascii="Calibri" w:eastAsia="Calibri" w:hAnsi="Calibri" w:cs="Calibri"/>
                <w:noProof/>
              </w:rPr>
              <w:drawing>
                <wp:inline distT="0" distB="0" distL="0" distR="0" wp14:anchorId="7125D2A1" wp14:editId="530E4F44">
                  <wp:extent cx="825500" cy="825500"/>
                  <wp:effectExtent l="0" t="0" r="0" b="0"/>
                  <wp:docPr id="16"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7"/>
                          <a:srcRect/>
                          <a:stretch>
                            <a:fillRect/>
                          </a:stretch>
                        </pic:blipFill>
                        <pic:spPr>
                          <a:xfrm>
                            <a:off x="0" y="0"/>
                            <a:ext cx="825500" cy="825500"/>
                          </a:xfrm>
                          <a:prstGeom prst="rect">
                            <a:avLst/>
                          </a:prstGeom>
                          <a:ln/>
                        </pic:spPr>
                      </pic:pic>
                    </a:graphicData>
                  </a:graphic>
                </wp:inline>
              </w:drawing>
            </w:r>
          </w:p>
        </w:tc>
        <w:tc>
          <w:tcPr>
            <w:tcW w:w="7937" w:type="dxa"/>
            <w:tcBorders>
              <w:top w:val="single" w:sz="24" w:space="0" w:color="FFFFFF"/>
              <w:bottom w:val="single" w:sz="24" w:space="0" w:color="FFFFFF"/>
              <w:right w:val="single" w:sz="24" w:space="0" w:color="FFFFFF"/>
            </w:tcBorders>
            <w:shd w:val="clear" w:color="auto" w:fill="F3F3F3"/>
            <w:tcMar>
              <w:top w:w="100" w:type="dxa"/>
              <w:left w:w="100" w:type="dxa"/>
              <w:bottom w:w="100" w:type="dxa"/>
              <w:right w:w="100" w:type="dxa"/>
            </w:tcMar>
          </w:tcPr>
          <w:p w14:paraId="5328CB69" w14:textId="77777777" w:rsidR="007750AD"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b/>
                <w:i/>
                <w:color w:val="3E5C61"/>
                <w:sz w:val="28"/>
                <w:szCs w:val="28"/>
              </w:rPr>
              <w:t xml:space="preserve">Stop and </w:t>
            </w:r>
            <w:proofErr w:type="gramStart"/>
            <w:r>
              <w:rPr>
                <w:rFonts w:ascii="Calibri" w:eastAsia="Calibri" w:hAnsi="Calibri" w:cs="Calibri"/>
                <w:b/>
                <w:i/>
                <w:color w:val="3E5C61"/>
                <w:sz w:val="28"/>
                <w:szCs w:val="28"/>
              </w:rPr>
              <w:t>Jot</w:t>
            </w:r>
            <w:proofErr w:type="gramEnd"/>
            <w:r>
              <w:rPr>
                <w:rFonts w:ascii="Calibri" w:eastAsia="Calibri" w:hAnsi="Calibri" w:cs="Calibri"/>
                <w:b/>
                <w:i/>
                <w:color w:val="3E5C61"/>
                <w:sz w:val="28"/>
                <w:szCs w:val="28"/>
              </w:rPr>
              <w:t xml:space="preserve"> </w:t>
            </w:r>
            <w:r>
              <w:rPr>
                <w:rFonts w:ascii="Calibri" w:eastAsia="Calibri" w:hAnsi="Calibri" w:cs="Calibri"/>
                <w:i/>
                <w:color w:val="3E5C61"/>
                <w:sz w:val="28"/>
                <w:szCs w:val="28"/>
              </w:rPr>
              <w:t>your thoughts on the reading so far: </w:t>
            </w:r>
          </w:p>
        </w:tc>
      </w:tr>
    </w:tbl>
    <w:p w14:paraId="0F34A942" w14:textId="77777777" w:rsidR="007750AD" w:rsidRDefault="007750AD">
      <w:pPr>
        <w:rPr>
          <w:rFonts w:ascii="Calibri" w:eastAsia="Calibri" w:hAnsi="Calibri" w:cs="Calibri"/>
        </w:rPr>
      </w:pPr>
    </w:p>
    <w:p w14:paraId="724E084A" w14:textId="77777777" w:rsidR="007750AD" w:rsidRDefault="00000000">
      <w:pPr>
        <w:pStyle w:val="Heading1"/>
      </w:pPr>
      <w:r>
        <w:lastRenderedPageBreak/>
        <w:t>Looking to the Future</w:t>
      </w:r>
    </w:p>
    <w:p w14:paraId="36A0EB61" w14:textId="2B669939" w:rsidR="007750AD" w:rsidRDefault="00000000">
      <w:pPr>
        <w:rPr>
          <w:rFonts w:ascii="Calibri" w:eastAsia="Calibri" w:hAnsi="Calibri" w:cs="Calibri"/>
        </w:rPr>
      </w:pPr>
      <w:r>
        <w:rPr>
          <w:rFonts w:ascii="Calibri" w:eastAsia="Calibri" w:hAnsi="Calibri" w:cs="Calibri"/>
        </w:rPr>
        <w:t>Since 1970, the recorded U.S. Hispanic population has grown to 60.6 million—an increase of more than six times. Hispanic people now make up 18.5</w:t>
      </w:r>
      <w:r w:rsidR="000D1265">
        <w:rPr>
          <w:rFonts w:ascii="Calibri" w:eastAsia="Calibri" w:hAnsi="Calibri" w:cs="Calibri"/>
        </w:rPr>
        <w:t>%</w:t>
      </w:r>
      <w:r>
        <w:rPr>
          <w:rFonts w:ascii="Calibri" w:eastAsia="Calibri" w:hAnsi="Calibri" w:cs="Calibri"/>
        </w:rPr>
        <w:t xml:space="preserve"> of the entire U.S. population.</w:t>
      </w:r>
    </w:p>
    <w:p w14:paraId="5672C2AD" w14:textId="1795C94B" w:rsidR="007750AD" w:rsidRDefault="00000000">
      <w:pPr>
        <w:rPr>
          <w:rFonts w:ascii="Calibri" w:eastAsia="Calibri" w:hAnsi="Calibri" w:cs="Calibri"/>
        </w:rPr>
      </w:pPr>
      <w:r>
        <w:rPr>
          <w:rFonts w:ascii="Calibri" w:eastAsia="Calibri" w:hAnsi="Calibri" w:cs="Calibri"/>
        </w:rPr>
        <w:t>Along with that growth has come the continued expansion of HSIs, of which community colleges account for the largest share, with 41</w:t>
      </w:r>
      <w:r w:rsidR="000D1265">
        <w:rPr>
          <w:rFonts w:ascii="Calibri" w:eastAsia="Calibri" w:hAnsi="Calibri" w:cs="Calibri"/>
        </w:rPr>
        <w:t>%</w:t>
      </w:r>
      <w:r>
        <w:rPr>
          <w:rFonts w:ascii="Calibri" w:eastAsia="Calibri" w:hAnsi="Calibri" w:cs="Calibri"/>
        </w:rPr>
        <w:t>. It’s also led to the growth of what are now known as emerging HSIs: colleges that do not yet have the critical mass of Hispanic and Latino student enrollment required but that may soon meet the criteria as their enrollment grows and Latino representation increases.</w:t>
      </w:r>
    </w:p>
    <w:p w14:paraId="0BA349E8" w14:textId="77777777" w:rsidR="007750AD" w:rsidRDefault="007750AD">
      <w:pPr>
        <w:rPr>
          <w:rFonts w:ascii="Calibri" w:eastAsia="Calibri" w:hAnsi="Calibri" w:cs="Calibri"/>
        </w:rPr>
      </w:pPr>
    </w:p>
    <w:tbl>
      <w:tblPr>
        <w:tblStyle w:val="a2"/>
        <w:tblW w:w="9974" w:type="dxa"/>
        <w:tblLayout w:type="fixed"/>
        <w:tblLook w:val="0400" w:firstRow="0" w:lastRow="0" w:firstColumn="0" w:lastColumn="0" w:noHBand="0" w:noVBand="1"/>
      </w:tblPr>
      <w:tblGrid>
        <w:gridCol w:w="2037"/>
        <w:gridCol w:w="7937"/>
      </w:tblGrid>
      <w:tr w:rsidR="007750AD" w14:paraId="41A187FA" w14:textId="77777777">
        <w:trPr>
          <w:trHeight w:val="3177"/>
        </w:trPr>
        <w:tc>
          <w:tcPr>
            <w:tcW w:w="2037" w:type="dxa"/>
            <w:tcBorders>
              <w:top w:val="single" w:sz="24" w:space="0" w:color="FFFFFF"/>
              <w:left w:val="single" w:sz="24" w:space="0" w:color="FFFFFF"/>
              <w:bottom w:val="single" w:sz="24" w:space="0" w:color="FFFFFF"/>
            </w:tcBorders>
            <w:shd w:val="clear" w:color="auto" w:fill="F3F3F3"/>
            <w:tcMar>
              <w:top w:w="100" w:type="dxa"/>
              <w:left w:w="100" w:type="dxa"/>
              <w:bottom w:w="100" w:type="dxa"/>
              <w:right w:w="100" w:type="dxa"/>
            </w:tcMar>
          </w:tcPr>
          <w:p w14:paraId="125701B5" w14:textId="77777777" w:rsidR="007750AD" w:rsidRDefault="00000000">
            <w:pPr>
              <w:rPr>
                <w:rFonts w:ascii="Calibri" w:eastAsia="Calibri" w:hAnsi="Calibri" w:cs="Calibri"/>
              </w:rPr>
            </w:pPr>
            <w:r>
              <w:rPr>
                <w:rFonts w:ascii="Calibri" w:eastAsia="Calibri" w:hAnsi="Calibri" w:cs="Calibri"/>
              </w:rPr>
              <w:br/>
            </w:r>
            <w:r>
              <w:rPr>
                <w:rFonts w:ascii="Calibri" w:eastAsia="Calibri" w:hAnsi="Calibri" w:cs="Calibri"/>
                <w:noProof/>
              </w:rPr>
              <w:drawing>
                <wp:inline distT="0" distB="0" distL="0" distR="0" wp14:anchorId="6703C961" wp14:editId="17517ABD">
                  <wp:extent cx="825500" cy="825500"/>
                  <wp:effectExtent l="0" t="0" r="0" b="0"/>
                  <wp:docPr id="15"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7"/>
                          <a:srcRect/>
                          <a:stretch>
                            <a:fillRect/>
                          </a:stretch>
                        </pic:blipFill>
                        <pic:spPr>
                          <a:xfrm>
                            <a:off x="0" y="0"/>
                            <a:ext cx="825500" cy="825500"/>
                          </a:xfrm>
                          <a:prstGeom prst="rect">
                            <a:avLst/>
                          </a:prstGeom>
                          <a:ln/>
                        </pic:spPr>
                      </pic:pic>
                    </a:graphicData>
                  </a:graphic>
                </wp:inline>
              </w:drawing>
            </w:r>
          </w:p>
        </w:tc>
        <w:tc>
          <w:tcPr>
            <w:tcW w:w="7937" w:type="dxa"/>
            <w:tcBorders>
              <w:top w:val="single" w:sz="24" w:space="0" w:color="FFFFFF"/>
              <w:bottom w:val="single" w:sz="24" w:space="0" w:color="FFFFFF"/>
              <w:right w:val="single" w:sz="24" w:space="0" w:color="FFFFFF"/>
            </w:tcBorders>
            <w:shd w:val="clear" w:color="auto" w:fill="F3F3F3"/>
            <w:tcMar>
              <w:top w:w="100" w:type="dxa"/>
              <w:left w:w="100" w:type="dxa"/>
              <w:bottom w:w="100" w:type="dxa"/>
              <w:right w:w="100" w:type="dxa"/>
            </w:tcMar>
          </w:tcPr>
          <w:p w14:paraId="2EE9279D" w14:textId="77777777" w:rsidR="007750AD"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b/>
                <w:i/>
                <w:color w:val="3E5C61"/>
                <w:sz w:val="28"/>
                <w:szCs w:val="28"/>
              </w:rPr>
              <w:t xml:space="preserve">Stop and </w:t>
            </w:r>
            <w:proofErr w:type="gramStart"/>
            <w:r>
              <w:rPr>
                <w:rFonts w:ascii="Calibri" w:eastAsia="Calibri" w:hAnsi="Calibri" w:cs="Calibri"/>
                <w:b/>
                <w:i/>
                <w:color w:val="3E5C61"/>
                <w:sz w:val="28"/>
                <w:szCs w:val="28"/>
              </w:rPr>
              <w:t>Jot</w:t>
            </w:r>
            <w:proofErr w:type="gramEnd"/>
            <w:r>
              <w:rPr>
                <w:rFonts w:ascii="Calibri" w:eastAsia="Calibri" w:hAnsi="Calibri" w:cs="Calibri"/>
                <w:b/>
                <w:i/>
                <w:color w:val="3E5C61"/>
                <w:sz w:val="28"/>
                <w:szCs w:val="28"/>
              </w:rPr>
              <w:t xml:space="preserve"> </w:t>
            </w:r>
            <w:r>
              <w:rPr>
                <w:rFonts w:ascii="Calibri" w:eastAsia="Calibri" w:hAnsi="Calibri" w:cs="Calibri"/>
                <w:i/>
                <w:color w:val="3E5C61"/>
                <w:sz w:val="28"/>
                <w:szCs w:val="28"/>
              </w:rPr>
              <w:t>your thoughts on the reading so far: </w:t>
            </w:r>
          </w:p>
        </w:tc>
      </w:tr>
    </w:tbl>
    <w:p w14:paraId="6CEA68C5" w14:textId="77777777" w:rsidR="007750AD" w:rsidRDefault="007750AD">
      <w:pPr>
        <w:rPr>
          <w:rFonts w:ascii="Calibri" w:eastAsia="Calibri" w:hAnsi="Calibri" w:cs="Calibri"/>
        </w:rPr>
      </w:pPr>
    </w:p>
    <w:p w14:paraId="76586FAE" w14:textId="77777777" w:rsidR="00CA54F1" w:rsidRDefault="00CA54F1">
      <w:pPr>
        <w:pBdr>
          <w:top w:val="nil"/>
          <w:left w:val="nil"/>
          <w:bottom w:val="nil"/>
          <w:right w:val="nil"/>
          <w:between w:val="nil"/>
        </w:pBdr>
        <w:spacing w:after="120" w:line="276" w:lineRule="auto"/>
        <w:ind w:left="720" w:hanging="720"/>
        <w:rPr>
          <w:rFonts w:ascii="Calibri" w:eastAsia="Calibri" w:hAnsi="Calibri" w:cs="Calibri"/>
          <w:b/>
          <w:i/>
          <w:color w:val="910D28"/>
          <w:sz w:val="18"/>
          <w:szCs w:val="18"/>
        </w:rPr>
      </w:pPr>
    </w:p>
    <w:p w14:paraId="4C51B8F1" w14:textId="77777777" w:rsidR="00CA54F1" w:rsidRDefault="00CA54F1">
      <w:pPr>
        <w:pBdr>
          <w:top w:val="nil"/>
          <w:left w:val="nil"/>
          <w:bottom w:val="nil"/>
          <w:right w:val="nil"/>
          <w:between w:val="nil"/>
        </w:pBdr>
        <w:spacing w:after="120" w:line="276" w:lineRule="auto"/>
        <w:ind w:left="720" w:hanging="720"/>
        <w:rPr>
          <w:rFonts w:ascii="Calibri" w:eastAsia="Calibri" w:hAnsi="Calibri" w:cs="Calibri"/>
          <w:b/>
          <w:i/>
          <w:color w:val="910D28"/>
          <w:sz w:val="18"/>
          <w:szCs w:val="18"/>
        </w:rPr>
      </w:pPr>
    </w:p>
    <w:p w14:paraId="4C120429" w14:textId="77777777" w:rsidR="00CA54F1" w:rsidRDefault="00CA54F1">
      <w:pPr>
        <w:pBdr>
          <w:top w:val="nil"/>
          <w:left w:val="nil"/>
          <w:bottom w:val="nil"/>
          <w:right w:val="nil"/>
          <w:between w:val="nil"/>
        </w:pBdr>
        <w:spacing w:after="120" w:line="276" w:lineRule="auto"/>
        <w:ind w:left="720" w:hanging="720"/>
        <w:rPr>
          <w:rFonts w:ascii="Calibri" w:eastAsia="Calibri" w:hAnsi="Calibri" w:cs="Calibri"/>
          <w:b/>
          <w:i/>
          <w:color w:val="910D28"/>
          <w:sz w:val="18"/>
          <w:szCs w:val="18"/>
        </w:rPr>
      </w:pPr>
    </w:p>
    <w:p w14:paraId="461025A4" w14:textId="77777777" w:rsidR="00CA54F1" w:rsidRDefault="00CA54F1">
      <w:pPr>
        <w:pBdr>
          <w:top w:val="nil"/>
          <w:left w:val="nil"/>
          <w:bottom w:val="nil"/>
          <w:right w:val="nil"/>
          <w:between w:val="nil"/>
        </w:pBdr>
        <w:spacing w:after="120" w:line="276" w:lineRule="auto"/>
        <w:ind w:left="720" w:hanging="720"/>
        <w:rPr>
          <w:rFonts w:ascii="Calibri" w:eastAsia="Calibri" w:hAnsi="Calibri" w:cs="Calibri"/>
          <w:b/>
          <w:i/>
          <w:color w:val="910D28"/>
          <w:sz w:val="18"/>
          <w:szCs w:val="18"/>
        </w:rPr>
      </w:pPr>
    </w:p>
    <w:p w14:paraId="0F31FCED" w14:textId="77777777" w:rsidR="00CA54F1" w:rsidRDefault="00CA54F1">
      <w:pPr>
        <w:pBdr>
          <w:top w:val="nil"/>
          <w:left w:val="nil"/>
          <w:bottom w:val="nil"/>
          <w:right w:val="nil"/>
          <w:between w:val="nil"/>
        </w:pBdr>
        <w:spacing w:after="120" w:line="276" w:lineRule="auto"/>
        <w:ind w:left="720" w:hanging="720"/>
        <w:rPr>
          <w:rFonts w:ascii="Calibri" w:eastAsia="Calibri" w:hAnsi="Calibri" w:cs="Calibri"/>
          <w:b/>
          <w:i/>
          <w:color w:val="910D28"/>
          <w:sz w:val="18"/>
          <w:szCs w:val="18"/>
        </w:rPr>
      </w:pPr>
    </w:p>
    <w:p w14:paraId="7D04B11B" w14:textId="77777777" w:rsidR="00CA54F1" w:rsidRDefault="00CA54F1">
      <w:pPr>
        <w:pBdr>
          <w:top w:val="nil"/>
          <w:left w:val="nil"/>
          <w:bottom w:val="nil"/>
          <w:right w:val="nil"/>
          <w:between w:val="nil"/>
        </w:pBdr>
        <w:spacing w:after="120" w:line="276" w:lineRule="auto"/>
        <w:ind w:left="720" w:hanging="720"/>
        <w:rPr>
          <w:rFonts w:ascii="Calibri" w:eastAsia="Calibri" w:hAnsi="Calibri" w:cs="Calibri"/>
          <w:b/>
          <w:i/>
          <w:color w:val="910D28"/>
          <w:sz w:val="18"/>
          <w:szCs w:val="18"/>
        </w:rPr>
      </w:pPr>
    </w:p>
    <w:p w14:paraId="258263ED" w14:textId="77777777" w:rsidR="00CA54F1" w:rsidRDefault="00CA54F1">
      <w:pPr>
        <w:pBdr>
          <w:top w:val="nil"/>
          <w:left w:val="nil"/>
          <w:bottom w:val="nil"/>
          <w:right w:val="nil"/>
          <w:between w:val="nil"/>
        </w:pBdr>
        <w:spacing w:after="120" w:line="276" w:lineRule="auto"/>
        <w:ind w:left="720" w:hanging="720"/>
        <w:rPr>
          <w:rFonts w:ascii="Calibri" w:eastAsia="Calibri" w:hAnsi="Calibri" w:cs="Calibri"/>
          <w:b/>
          <w:i/>
          <w:color w:val="910D28"/>
          <w:sz w:val="18"/>
          <w:szCs w:val="18"/>
        </w:rPr>
      </w:pPr>
    </w:p>
    <w:p w14:paraId="3A6F4ABC" w14:textId="77777777" w:rsidR="00CA54F1" w:rsidRDefault="00CA54F1">
      <w:pPr>
        <w:pBdr>
          <w:top w:val="nil"/>
          <w:left w:val="nil"/>
          <w:bottom w:val="nil"/>
          <w:right w:val="nil"/>
          <w:between w:val="nil"/>
        </w:pBdr>
        <w:spacing w:after="120" w:line="276" w:lineRule="auto"/>
        <w:ind w:left="720" w:hanging="720"/>
        <w:rPr>
          <w:rFonts w:ascii="Calibri" w:eastAsia="Calibri" w:hAnsi="Calibri" w:cs="Calibri"/>
          <w:b/>
          <w:i/>
          <w:color w:val="910D28"/>
          <w:sz w:val="18"/>
          <w:szCs w:val="18"/>
        </w:rPr>
      </w:pPr>
    </w:p>
    <w:p w14:paraId="4FBE0573" w14:textId="77777777" w:rsidR="00CA54F1" w:rsidRDefault="00CA54F1">
      <w:pPr>
        <w:pBdr>
          <w:top w:val="nil"/>
          <w:left w:val="nil"/>
          <w:bottom w:val="nil"/>
          <w:right w:val="nil"/>
          <w:between w:val="nil"/>
        </w:pBdr>
        <w:spacing w:after="120" w:line="276" w:lineRule="auto"/>
        <w:ind w:left="720" w:hanging="720"/>
        <w:rPr>
          <w:rFonts w:ascii="Calibri" w:eastAsia="Calibri" w:hAnsi="Calibri" w:cs="Calibri"/>
          <w:b/>
          <w:i/>
          <w:color w:val="910D28"/>
          <w:sz w:val="18"/>
          <w:szCs w:val="18"/>
        </w:rPr>
      </w:pPr>
    </w:p>
    <w:p w14:paraId="0C2477CF" w14:textId="77777777" w:rsidR="00CA54F1" w:rsidRDefault="00CA54F1">
      <w:pPr>
        <w:pBdr>
          <w:top w:val="nil"/>
          <w:left w:val="nil"/>
          <w:bottom w:val="nil"/>
          <w:right w:val="nil"/>
          <w:between w:val="nil"/>
        </w:pBdr>
        <w:spacing w:after="120" w:line="276" w:lineRule="auto"/>
        <w:ind w:left="720" w:hanging="720"/>
        <w:rPr>
          <w:rFonts w:ascii="Calibri" w:eastAsia="Calibri" w:hAnsi="Calibri" w:cs="Calibri"/>
          <w:b/>
          <w:i/>
          <w:color w:val="910D28"/>
          <w:sz w:val="18"/>
          <w:szCs w:val="18"/>
        </w:rPr>
      </w:pPr>
    </w:p>
    <w:p w14:paraId="34482BDC" w14:textId="77777777" w:rsidR="00CA54F1" w:rsidRDefault="00CA54F1">
      <w:pPr>
        <w:pBdr>
          <w:top w:val="nil"/>
          <w:left w:val="nil"/>
          <w:bottom w:val="nil"/>
          <w:right w:val="nil"/>
          <w:between w:val="nil"/>
        </w:pBdr>
        <w:spacing w:after="120" w:line="276" w:lineRule="auto"/>
        <w:ind w:left="720" w:hanging="720"/>
        <w:rPr>
          <w:rFonts w:ascii="Calibri" w:eastAsia="Calibri" w:hAnsi="Calibri" w:cs="Calibri"/>
          <w:b/>
          <w:i/>
          <w:color w:val="910D28"/>
          <w:sz w:val="18"/>
          <w:szCs w:val="18"/>
        </w:rPr>
      </w:pPr>
    </w:p>
    <w:p w14:paraId="2CF3ABEA" w14:textId="77777777" w:rsidR="00CA54F1" w:rsidRDefault="00CA54F1">
      <w:pPr>
        <w:pBdr>
          <w:top w:val="nil"/>
          <w:left w:val="nil"/>
          <w:bottom w:val="nil"/>
          <w:right w:val="nil"/>
          <w:between w:val="nil"/>
        </w:pBdr>
        <w:spacing w:after="120" w:line="276" w:lineRule="auto"/>
        <w:ind w:left="720" w:hanging="720"/>
        <w:rPr>
          <w:rFonts w:ascii="Calibri" w:eastAsia="Calibri" w:hAnsi="Calibri" w:cs="Calibri"/>
          <w:b/>
          <w:i/>
          <w:color w:val="910D28"/>
          <w:sz w:val="18"/>
          <w:szCs w:val="18"/>
        </w:rPr>
      </w:pPr>
    </w:p>
    <w:p w14:paraId="77C23D6E" w14:textId="4FC75423" w:rsidR="007750AD" w:rsidRDefault="00000000">
      <w:pPr>
        <w:pBdr>
          <w:top w:val="nil"/>
          <w:left w:val="nil"/>
          <w:bottom w:val="nil"/>
          <w:right w:val="nil"/>
          <w:between w:val="nil"/>
        </w:pBdr>
        <w:spacing w:after="120" w:line="276" w:lineRule="auto"/>
        <w:ind w:left="720" w:hanging="720"/>
        <w:rPr>
          <w:rFonts w:ascii="Calibri" w:eastAsia="Calibri" w:hAnsi="Calibri" w:cs="Calibri"/>
          <w:b/>
          <w:i/>
          <w:color w:val="910D28"/>
        </w:rPr>
      </w:pPr>
      <w:r>
        <w:rPr>
          <w:rFonts w:ascii="Calibri" w:eastAsia="Calibri" w:hAnsi="Calibri" w:cs="Calibri"/>
          <w:b/>
          <w:i/>
          <w:color w:val="910D28"/>
          <w:sz w:val="18"/>
          <w:szCs w:val="18"/>
        </w:rPr>
        <w:t xml:space="preserve">Adapted from </w:t>
      </w:r>
    </w:p>
    <w:p w14:paraId="71BBAC81" w14:textId="77777777" w:rsidR="007750AD" w:rsidRDefault="00000000">
      <w:pPr>
        <w:pBdr>
          <w:top w:val="nil"/>
          <w:left w:val="nil"/>
          <w:bottom w:val="nil"/>
          <w:right w:val="nil"/>
          <w:between w:val="nil"/>
        </w:pBdr>
        <w:spacing w:after="120" w:line="276" w:lineRule="auto"/>
        <w:ind w:left="720" w:hanging="720"/>
        <w:rPr>
          <w:rFonts w:ascii="Calibri" w:eastAsia="Calibri" w:hAnsi="Calibri" w:cs="Calibri"/>
        </w:rPr>
      </w:pPr>
      <w:r>
        <w:rPr>
          <w:rFonts w:ascii="Calibri" w:eastAsia="Calibri" w:hAnsi="Calibri" w:cs="Calibri"/>
          <w:i/>
          <w:color w:val="3E5C61"/>
          <w:sz w:val="18"/>
          <w:szCs w:val="18"/>
        </w:rPr>
        <w:t xml:space="preserve">Brownlee, M. I. (2021, April 19). The Rise of Hispanic-Serving Institutions and the Path Forward. Retrieved from </w:t>
      </w:r>
      <w:proofErr w:type="spellStart"/>
      <w:r>
        <w:rPr>
          <w:rFonts w:ascii="Calibri" w:eastAsia="Calibri" w:hAnsi="Calibri" w:cs="Calibri"/>
          <w:i/>
          <w:color w:val="3E5C61"/>
          <w:sz w:val="18"/>
          <w:szCs w:val="18"/>
        </w:rPr>
        <w:t>EdSurge</w:t>
      </w:r>
      <w:proofErr w:type="spellEnd"/>
      <w:r>
        <w:rPr>
          <w:rFonts w:ascii="Calibri" w:eastAsia="Calibri" w:hAnsi="Calibri" w:cs="Calibri"/>
          <w:i/>
          <w:color w:val="3E5C61"/>
          <w:sz w:val="18"/>
          <w:szCs w:val="18"/>
        </w:rPr>
        <w:t xml:space="preserve">: </w:t>
      </w:r>
      <w:hyperlink r:id="rId8">
        <w:r>
          <w:rPr>
            <w:rFonts w:ascii="Calibri" w:eastAsia="Calibri" w:hAnsi="Calibri" w:cs="Calibri"/>
            <w:i/>
            <w:color w:val="1155CC"/>
            <w:sz w:val="18"/>
            <w:szCs w:val="18"/>
            <w:u w:val="single"/>
          </w:rPr>
          <w:t>https://www.edsurge.com/news/2021-04-19-the-rise-of-hispanic-serving-institutions-and-the-path-forward</w:t>
        </w:r>
      </w:hyperlink>
    </w:p>
    <w:p w14:paraId="72FE430D" w14:textId="77777777" w:rsidR="007750AD" w:rsidRDefault="007750AD">
      <w:pPr>
        <w:pBdr>
          <w:top w:val="nil"/>
          <w:left w:val="nil"/>
          <w:bottom w:val="nil"/>
          <w:right w:val="nil"/>
          <w:between w:val="nil"/>
        </w:pBdr>
        <w:spacing w:after="120" w:line="276" w:lineRule="auto"/>
        <w:rPr>
          <w:rFonts w:ascii="Calibri" w:eastAsia="Calibri" w:hAnsi="Calibri" w:cs="Calibri"/>
          <w:color w:val="000000"/>
        </w:rPr>
      </w:pPr>
    </w:p>
    <w:sectPr w:rsidR="007750AD">
      <w:headerReference w:type="even" r:id="rId9"/>
      <w:headerReference w:type="default" r:id="rId10"/>
      <w:footerReference w:type="default" r:id="rId11"/>
      <w:head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0C00C" w14:textId="77777777" w:rsidR="00992551" w:rsidRDefault="00992551">
      <w:r>
        <w:separator/>
      </w:r>
    </w:p>
  </w:endnote>
  <w:endnote w:type="continuationSeparator" w:id="0">
    <w:p w14:paraId="3E47C679" w14:textId="77777777" w:rsidR="00992551" w:rsidRDefault="0099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3B1C" w14:textId="77777777" w:rsidR="007750AD" w:rsidRDefault="00000000">
    <w:pPr>
      <w:pBdr>
        <w:top w:val="nil"/>
        <w:left w:val="nil"/>
        <w:bottom w:val="nil"/>
        <w:right w:val="nil"/>
        <w:between w:val="nil"/>
      </w:pBdr>
      <w:tabs>
        <w:tab w:val="center" w:pos="4680"/>
        <w:tab w:val="right" w:pos="9360"/>
      </w:tabs>
      <w:rPr>
        <w:rFonts w:ascii="Calibri" w:eastAsia="Calibri" w:hAnsi="Calibri" w:cs="Calibri"/>
        <w:color w:val="000000"/>
      </w:rPr>
    </w:pPr>
    <w:r>
      <w:rPr>
        <w:noProof/>
      </w:rPr>
      <w:drawing>
        <wp:anchor distT="0" distB="0" distL="0" distR="0" simplePos="0" relativeHeight="251658240" behindDoc="1" locked="0" layoutInCell="1" hidden="0" allowOverlap="1" wp14:anchorId="020DD979" wp14:editId="685C9FF1">
          <wp:simplePos x="0" y="0"/>
          <wp:positionH relativeFrom="column">
            <wp:posOffset>1028700</wp:posOffset>
          </wp:positionH>
          <wp:positionV relativeFrom="paragraph">
            <wp:posOffset>-212724</wp:posOffset>
          </wp:positionV>
          <wp:extent cx="4572000" cy="316865"/>
          <wp:effectExtent l="0" t="0" r="0" b="0"/>
          <wp:wrapNone/>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4470C81B" wp14:editId="35B97F56">
              <wp:simplePos x="0" y="0"/>
              <wp:positionH relativeFrom="column">
                <wp:posOffset>1130300</wp:posOffset>
              </wp:positionH>
              <wp:positionV relativeFrom="paragraph">
                <wp:posOffset>-253999</wp:posOffset>
              </wp:positionV>
              <wp:extent cx="4010025" cy="304078"/>
              <wp:effectExtent l="0" t="0" r="0" b="0"/>
              <wp:wrapNone/>
              <wp:docPr id="12" name="Rectangle 12"/>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B58D91D" w14:textId="68D7FF20" w:rsidR="007750AD" w:rsidRPr="00CE5D18" w:rsidRDefault="00CE5D18" w:rsidP="00CE5D18">
                          <w:pPr>
                            <w:jc w:val="right"/>
                            <w:rPr>
                              <w:rFonts w:asciiTheme="majorHAnsi" w:hAnsiTheme="majorHAnsi" w:cstheme="majorHAnsi"/>
                              <w:b/>
                              <w:bCs/>
                            </w:rPr>
                          </w:pPr>
                          <w:r>
                            <w:rPr>
                              <w:rFonts w:asciiTheme="majorHAnsi" w:eastAsia="Calibri" w:hAnsiTheme="majorHAnsi" w:cstheme="majorHAnsi"/>
                              <w:b/>
                              <w:bCs/>
                            </w:rPr>
                            <w:t>ROAD TRIP TO THE FUTURE</w:t>
                          </w:r>
                          <w:r w:rsidR="00000000" w:rsidRPr="00CE5D18">
                            <w:rPr>
                              <w:rFonts w:asciiTheme="majorHAnsi" w:eastAsia="Calibri" w:hAnsiTheme="majorHAnsi" w:cstheme="majorHAnsi"/>
                              <w:b/>
                              <w:bCs/>
                            </w:rPr>
                            <w:t xml:space="preserve"> </w:t>
                          </w:r>
                        </w:p>
                      </w:txbxContent>
                    </wps:txbx>
                    <wps:bodyPr spcFirstLastPara="1" wrap="square" lIns="91425" tIns="45700" rIns="91425" bIns="45700" anchor="t" anchorCtr="0">
                      <a:noAutofit/>
                    </wps:bodyPr>
                  </wps:wsp>
                </a:graphicData>
              </a:graphic>
            </wp:anchor>
          </w:drawing>
        </mc:Choice>
        <mc:Fallback>
          <w:pict>
            <v:rect w14:anchorId="4470C81B" id="Rectangle 12" o:spid="_x0000_s1026" style="position:absolute;margin-left:89pt;margin-top:-20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PSVRObhAAAADgEAAA8AAABkcnMvZG93bnJldi54&#13;&#10;bWxMj7tuwzAMRfcC/QeBBbolUoo8HMdyUPQxdKzToaNisbZRiTIsOXH+vuyULAQvSF7eU+wn78QJ&#13;&#10;h9gF0rCYKxBIdbAdNRq+Du+zDERMhqxxgVDDBSPsy/u7wuQ2nOkTT1VqBJtQzI2GNqU+lzLWLXoT&#13;&#10;56FH4tlPGLxJLIdG2sGc2dw7+aTUWnrTEX9oTY8vLda/1eg19Ojs6JaV+q7l20CL9cdBXlZaPz5M&#13;&#10;rzsuzzsQCad0vYB/Bs4PJQc7hpFsFI71JmOgpGG2VNzwRqa2KxBHDZstyLKQtxjlHwA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D0lUTm4QAAAA4BAAAPAAAAAAAAAAAAAAAAABAEAABk&#13;&#10;cnMvZG93bnJldi54bWxQSwUGAAAAAAQABADzAAAAHgUAAAAA&#13;&#10;" filled="f" stroked="f">
              <v:textbox inset="2.53958mm,1.2694mm,2.53958mm,1.2694mm">
                <w:txbxContent>
                  <w:p w14:paraId="6B58D91D" w14:textId="68D7FF20" w:rsidR="007750AD" w:rsidRPr="00CE5D18" w:rsidRDefault="00CE5D18" w:rsidP="00CE5D18">
                    <w:pPr>
                      <w:jc w:val="right"/>
                      <w:rPr>
                        <w:rFonts w:asciiTheme="majorHAnsi" w:hAnsiTheme="majorHAnsi" w:cstheme="majorHAnsi"/>
                        <w:b/>
                        <w:bCs/>
                      </w:rPr>
                    </w:pPr>
                    <w:r>
                      <w:rPr>
                        <w:rFonts w:asciiTheme="majorHAnsi" w:eastAsia="Calibri" w:hAnsiTheme="majorHAnsi" w:cstheme="majorHAnsi"/>
                        <w:b/>
                        <w:bCs/>
                      </w:rPr>
                      <w:t>ROAD TRIP TO THE FUTURE</w:t>
                    </w:r>
                    <w:r w:rsidR="00000000" w:rsidRPr="00CE5D18">
                      <w:rPr>
                        <w:rFonts w:asciiTheme="majorHAnsi" w:eastAsia="Calibri" w:hAnsiTheme="majorHAnsi" w:cstheme="majorHAnsi"/>
                        <w:b/>
                        <w:bCs/>
                      </w:rPr>
                      <w:t xml:space="preserve">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1A8A" w14:textId="77777777" w:rsidR="00992551" w:rsidRDefault="00992551">
      <w:r>
        <w:separator/>
      </w:r>
    </w:p>
  </w:footnote>
  <w:footnote w:type="continuationSeparator" w:id="0">
    <w:p w14:paraId="7778060E" w14:textId="77777777" w:rsidR="00992551" w:rsidRDefault="00992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BC9A" w14:textId="77777777" w:rsidR="007750AD" w:rsidRDefault="007750AD">
    <w:pPr>
      <w:pBdr>
        <w:top w:val="nil"/>
        <w:left w:val="nil"/>
        <w:bottom w:val="nil"/>
        <w:right w:val="nil"/>
        <w:between w:val="nil"/>
      </w:pBdr>
      <w:tabs>
        <w:tab w:val="center" w:pos="4680"/>
        <w:tab w:val="right" w:pos="9360"/>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20FC" w14:textId="77777777" w:rsidR="007750AD" w:rsidRDefault="007750AD">
    <w:pPr>
      <w:pBdr>
        <w:top w:val="nil"/>
        <w:left w:val="nil"/>
        <w:bottom w:val="nil"/>
        <w:right w:val="nil"/>
        <w:between w:val="nil"/>
      </w:pBdr>
      <w:tabs>
        <w:tab w:val="center" w:pos="4680"/>
        <w:tab w:val="right" w:pos="9360"/>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17EB" w14:textId="77777777" w:rsidR="007750AD" w:rsidRDefault="007750AD">
    <w:pPr>
      <w:pBdr>
        <w:top w:val="nil"/>
        <w:left w:val="nil"/>
        <w:bottom w:val="nil"/>
        <w:right w:val="nil"/>
        <w:between w:val="nil"/>
      </w:pBdr>
      <w:tabs>
        <w:tab w:val="center" w:pos="4680"/>
        <w:tab w:val="right" w:pos="9360"/>
      </w:tabs>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0AD"/>
    <w:rsid w:val="00091C26"/>
    <w:rsid w:val="000D1265"/>
    <w:rsid w:val="00140E40"/>
    <w:rsid w:val="00430C34"/>
    <w:rsid w:val="007750AD"/>
    <w:rsid w:val="00992551"/>
    <w:rsid w:val="00CA54F1"/>
    <w:rsid w:val="00CE5D18"/>
    <w:rsid w:val="00D23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D01B5"/>
  <w15:docId w15:val="{1CA11F38-3E8F-674A-97DB-D38D7467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7171E"/>
  </w:style>
  <w:style w:type="paragraph" w:styleId="Heading1">
    <w:name w:val="heading 1"/>
    <w:basedOn w:val="Normal"/>
    <w:next w:val="Normal"/>
    <w:link w:val="Heading1Char"/>
    <w:uiPriority w:val="9"/>
    <w:qFormat/>
    <w:rsid w:val="006B4CC2"/>
    <w:pPr>
      <w:keepNext/>
      <w:keepLines/>
      <w:spacing w:before="200" w:after="120" w:line="276" w:lineRule="auto"/>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line="276" w:lineRule="auto"/>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line="276" w:lineRule="auto"/>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line="276" w:lineRule="auto"/>
      <w:outlineLvl w:val="3"/>
    </w:pPr>
    <w:rPr>
      <w:rFonts w:asciiTheme="majorHAnsi" w:eastAsiaTheme="majorEastAsia" w:hAnsiTheme="majorHAnsi" w:cstheme="majorBidi"/>
      <w:i/>
      <w:iCs/>
      <w:color w:val="6C091D" w:themeColor="accent1" w:themeShade="BF"/>
      <w:szCs w:val="22"/>
    </w:rPr>
  </w:style>
  <w:style w:type="paragraph" w:styleId="Heading5">
    <w:name w:val="heading 5"/>
    <w:basedOn w:val="Normal"/>
    <w:next w:val="Normal"/>
    <w:uiPriority w:val="9"/>
    <w:semiHidden/>
    <w:unhideWhenUsed/>
    <w:qFormat/>
    <w:pPr>
      <w:keepNext/>
      <w:keepLines/>
      <w:spacing w:before="40" w:line="276" w:lineRule="auto"/>
      <w:outlineLvl w:val="4"/>
    </w:pPr>
    <w:rPr>
      <w:rFonts w:asciiTheme="majorHAnsi" w:eastAsiaTheme="majorEastAsia" w:hAnsiTheme="majorHAnsi" w:cstheme="majorBidi"/>
      <w:color w:val="6C091D" w:themeColor="accent1" w:themeShade="BF"/>
      <w:szCs w:val="22"/>
    </w:rPr>
  </w:style>
  <w:style w:type="paragraph" w:styleId="Heading6">
    <w:name w:val="heading 6"/>
    <w:basedOn w:val="Normal"/>
    <w:next w:val="Normal"/>
    <w:uiPriority w:val="9"/>
    <w:semiHidden/>
    <w:unhideWhenUsed/>
    <w:qFormat/>
    <w:pPr>
      <w:keepNext/>
      <w:keepLines/>
      <w:spacing w:before="40" w:line="276" w:lineRule="auto"/>
      <w:outlineLvl w:val="5"/>
    </w:pPr>
    <w:rPr>
      <w:rFonts w:asciiTheme="majorHAnsi" w:eastAsiaTheme="majorEastAsia" w:hAnsiTheme="majorHAnsi" w:cstheme="majorBidi"/>
      <w:color w:val="480613"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spacing w:after="120" w:line="276" w:lineRule="auto"/>
      <w:ind w:left="720" w:hanging="720"/>
    </w:pPr>
    <w:rPr>
      <w:rFonts w:asciiTheme="minorHAnsi" w:eastAsiaTheme="minorHAnsi" w:hAnsiTheme="minorHAnsi" w:cstheme="minorBidi"/>
      <w:i/>
      <w:color w:val="3E5C61"/>
      <w:sz w:val="18"/>
      <w:szCs w:val="22"/>
    </w:rPr>
  </w:style>
  <w:style w:type="paragraph" w:styleId="FootnoteText">
    <w:name w:val="footnote text"/>
    <w:basedOn w:val="Normal"/>
    <w:link w:val="FootnoteTextChar"/>
    <w:uiPriority w:val="99"/>
    <w:semiHidden/>
    <w:unhideWhenUsed/>
    <w:rsid w:val="00AC349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after="12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after="120" w:line="276" w:lineRule="auto"/>
      <w:ind w:left="1152" w:right="1152"/>
      <w:jc w:val="both"/>
    </w:pPr>
    <w:rPr>
      <w:rFonts w:asciiTheme="minorHAnsi" w:eastAsiaTheme="minorHAnsi" w:hAnsiTheme="minorHAnsi" w:cstheme="minorBidi"/>
      <w:i/>
      <w:iCs/>
      <w:color w:val="626262"/>
      <w:szCs w:val="2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pPr>
  </w:style>
  <w:style w:type="table" w:styleId="TableGrid">
    <w:name w:val="Table Grid"/>
    <w:basedOn w:val="TableNormal"/>
    <w:uiPriority w:val="39"/>
    <w:rsid w:val="00AC3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jc w:val="center"/>
    </w:pPr>
    <w:rPr>
      <w:rFonts w:asciiTheme="majorHAnsi" w:eastAsiaTheme="minorHAnsi" w:hAnsiTheme="majorHAnsi" w:cstheme="minorBidi"/>
      <w:b/>
      <w:color w:val="FFFFFF" w:themeColor="background1"/>
      <w:szCs w:val="22"/>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spacing w:after="120" w:line="276" w:lineRule="auto"/>
      <w:ind w:left="720"/>
      <w:contextualSpacing/>
    </w:pPr>
    <w:rPr>
      <w:rFonts w:asciiTheme="minorHAnsi" w:eastAsiaTheme="minorHAnsi" w:hAnsiTheme="minorHAnsi" w:cstheme="minorBidi"/>
      <w:szCs w:val="22"/>
    </w:rPr>
  </w:style>
  <w:style w:type="paragraph" w:customStyle="1" w:styleId="Image">
    <w:name w:val="Image"/>
    <w:basedOn w:val="Normal"/>
    <w:next w:val="CaptionCutline"/>
    <w:link w:val="ImageChar"/>
    <w:autoRedefine/>
    <w:qFormat/>
    <w:rsid w:val="006E1542"/>
    <w:pPr>
      <w:keepNext/>
    </w:pPr>
    <w:rPr>
      <w:rFonts w:asciiTheme="minorHAnsi" w:eastAsiaTheme="minorHAnsi" w:hAnsiTheme="minorHAnsi" w:cstheme="minorBidi"/>
      <w:noProof/>
      <w:szCs w:val="22"/>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rPr>
      <w:rFonts w:asciiTheme="minorHAnsi" w:eastAsiaTheme="minorHAnsi" w:hAnsiTheme="minorHAnsi" w:cstheme="minorBidi"/>
      <w:b/>
      <w:color w:val="910D28" w:themeColor="accent1"/>
      <w:szCs w:val="22"/>
    </w:rPr>
  </w:style>
  <w:style w:type="paragraph" w:customStyle="1" w:styleId="TableData">
    <w:name w:val="Table Data"/>
    <w:basedOn w:val="Normal"/>
    <w:qFormat/>
    <w:rsid w:val="006B4CC2"/>
    <w:rPr>
      <w:rFonts w:asciiTheme="minorHAnsi" w:eastAsiaTheme="minorHAnsi" w:hAnsiTheme="minorHAnsi" w:cstheme="minorBidi"/>
      <w:szCs w:val="22"/>
    </w:rPr>
  </w:style>
  <w:style w:type="character" w:styleId="Emphasis">
    <w:name w:val="Emphasis"/>
    <w:basedOn w:val="DefaultParagraphFont"/>
    <w:uiPriority w:val="20"/>
    <w:qFormat/>
    <w:rsid w:val="00DF5A85"/>
    <w:rPr>
      <w:i/>
      <w:iCs/>
    </w:rPr>
  </w:style>
  <w:style w:type="character" w:styleId="FollowedHyperlink">
    <w:name w:val="FollowedHyperlink"/>
    <w:basedOn w:val="DefaultParagraphFont"/>
    <w:uiPriority w:val="99"/>
    <w:semiHidden/>
    <w:unhideWhenUsed/>
    <w:rsid w:val="00DF5A85"/>
    <w:rPr>
      <w:color w:val="A26670" w:themeColor="followedHyperlink"/>
      <w:u w:val="single"/>
    </w:rPr>
  </w:style>
  <w:style w:type="paragraph" w:styleId="Bibliography">
    <w:name w:val="Bibliography"/>
    <w:basedOn w:val="Normal"/>
    <w:next w:val="Normal"/>
    <w:uiPriority w:val="37"/>
    <w:unhideWhenUsed/>
    <w:rsid w:val="00DF5A85"/>
    <w:pPr>
      <w:spacing w:after="120" w:line="276" w:lineRule="auto"/>
    </w:pPr>
    <w:rPr>
      <w:rFonts w:asciiTheme="minorHAnsi" w:eastAsiaTheme="minorHAnsi" w:hAnsiTheme="minorHAnsi" w:cstheme="minorBidi"/>
      <w:szCs w:val="22"/>
    </w:r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dsurge.com/news/2021-04-19-the-rise-of-hispanic-serving-institutions-and-the-path-forwar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LUopAy6djlQt6azdDq5+tz8VHQ==">AMUW2mU2RmYVvm8vpMVCIlXPnjrIBD7yecYVUZXyqjlnpYOf8oVJTs72vyWxMAIcW+8zhbYpyilEPgFt04GVLbVEuakpGV641KN25cYxyUDIhD8tcrCGbTE=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759</Words>
  <Characters>4332</Characters>
  <Application>Microsoft Office Word</Application>
  <DocSecurity>0</DocSecurity>
  <Lines>36</Lines>
  <Paragraphs>10</Paragraphs>
  <ScaleCrop>false</ScaleCrop>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Gracia, Ann M.</cp:lastModifiedBy>
  <cp:revision>6</cp:revision>
  <dcterms:created xsi:type="dcterms:W3CDTF">2022-09-22T18:53:00Z</dcterms:created>
  <dcterms:modified xsi:type="dcterms:W3CDTF">2022-11-04T20:31:00Z</dcterms:modified>
</cp:coreProperties>
</file>