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24B86C" w14:textId="77777777" w:rsidR="006642FA" w:rsidRPr="00C43FC8" w:rsidRDefault="008E13F3">
      <w:pPr>
        <w:pStyle w:val="Title"/>
        <w:rPr>
          <w:sz w:val="40"/>
          <w:szCs w:val="96"/>
          <w:lang w:val="es-US"/>
        </w:rPr>
      </w:pPr>
      <w:r>
        <w:rPr>
          <w:bCs/>
          <w:sz w:val="40"/>
          <w:szCs w:val="96"/>
          <w:lang w:val="es"/>
        </w:rPr>
        <w:t xml:space="preserve">Clasificación de tarjetas - caricaturas políticas de la Segunda Guerra Mundial </w:t>
      </w:r>
    </w:p>
    <w:tbl>
      <w:tblPr>
        <w:tblStyle w:val="a0"/>
        <w:tblW w:w="12936" w:type="dxa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233"/>
        <w:gridCol w:w="3234"/>
        <w:gridCol w:w="3234"/>
        <w:gridCol w:w="3235"/>
      </w:tblGrid>
      <w:tr w:rsidR="006642FA" w14:paraId="7EDA829C" w14:textId="77777777">
        <w:trPr>
          <w:trHeight w:val="3616"/>
        </w:trPr>
        <w:tc>
          <w:tcPr>
            <w:tcW w:w="3234" w:type="dxa"/>
            <w:vAlign w:val="center"/>
          </w:tcPr>
          <w:p w14:paraId="4FC3D11D" w14:textId="77777777" w:rsidR="006642FA" w:rsidRPr="00E91EF4" w:rsidRDefault="008E13F3">
            <w:pPr>
              <w:spacing w:after="0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color w:val="910D28"/>
                <w:sz w:val="32"/>
                <w:szCs w:val="32"/>
                <w:lang w:val="es"/>
              </w:rPr>
              <w:t>Militarismo</w:t>
            </w:r>
            <w:r>
              <w:rPr>
                <w:rFonts w:asciiTheme="majorHAnsi" w:hAnsiTheme="majorHAnsi" w:cstheme="majorHAnsi"/>
                <w:b/>
                <w:bCs/>
                <w:sz w:val="32"/>
                <w:szCs w:val="32"/>
                <w:lang w:val="es"/>
              </w:rPr>
              <w:t xml:space="preserve"> </w:t>
            </w:r>
          </w:p>
        </w:tc>
        <w:tc>
          <w:tcPr>
            <w:tcW w:w="3234" w:type="dxa"/>
            <w:vAlign w:val="center"/>
          </w:tcPr>
          <w:p w14:paraId="263A231F" w14:textId="77777777" w:rsidR="006642FA" w:rsidRPr="00E91EF4" w:rsidRDefault="008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color w:val="910D28"/>
                <w:sz w:val="32"/>
                <w:szCs w:val="32"/>
                <w:lang w:val="es"/>
              </w:rPr>
              <w:t>Alianzas</w:t>
            </w:r>
          </w:p>
        </w:tc>
        <w:tc>
          <w:tcPr>
            <w:tcW w:w="3234" w:type="dxa"/>
            <w:vAlign w:val="center"/>
          </w:tcPr>
          <w:p w14:paraId="1F623115" w14:textId="77777777" w:rsidR="006642FA" w:rsidRPr="00E91EF4" w:rsidRDefault="008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color w:val="910D28"/>
                <w:sz w:val="32"/>
                <w:szCs w:val="32"/>
                <w:lang w:val="es"/>
              </w:rPr>
              <w:t>Imperialismo</w:t>
            </w:r>
          </w:p>
        </w:tc>
        <w:tc>
          <w:tcPr>
            <w:tcW w:w="3235" w:type="dxa"/>
            <w:vAlign w:val="center"/>
          </w:tcPr>
          <w:p w14:paraId="1501BDC9" w14:textId="77777777" w:rsidR="006642FA" w:rsidRPr="00E91EF4" w:rsidRDefault="008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color w:val="910D28"/>
                <w:sz w:val="32"/>
                <w:szCs w:val="32"/>
                <w:lang w:val="es"/>
              </w:rPr>
              <w:t>Nacionalismo</w:t>
            </w:r>
          </w:p>
        </w:tc>
      </w:tr>
      <w:tr w:rsidR="006642FA" w:rsidRPr="00C43FC8" w14:paraId="55F65851" w14:textId="77777777">
        <w:trPr>
          <w:trHeight w:val="2869"/>
        </w:trPr>
        <w:tc>
          <w:tcPr>
            <w:tcW w:w="3234" w:type="dxa"/>
            <w:vAlign w:val="center"/>
          </w:tcPr>
          <w:p w14:paraId="1FD19C86" w14:textId="77777777" w:rsidR="006642FA" w:rsidRPr="00C43FC8" w:rsidRDefault="008E13F3">
            <w:pPr>
              <w:spacing w:after="0"/>
              <w:jc w:val="center"/>
              <w:rPr>
                <w:rFonts w:asciiTheme="majorHAnsi" w:hAnsiTheme="majorHAnsi" w:cstheme="majorHAnsi"/>
                <w:b/>
                <w:color w:val="910D28"/>
                <w:sz w:val="32"/>
                <w:szCs w:val="32"/>
                <w:lang w:val="es-US"/>
              </w:rPr>
            </w:pPr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>Acuerdo formal entre dos o más estados para apoyarse mutuamente en caso de guerra.</w:t>
            </w:r>
          </w:p>
        </w:tc>
        <w:tc>
          <w:tcPr>
            <w:tcW w:w="3234" w:type="dxa"/>
            <w:vAlign w:val="center"/>
          </w:tcPr>
          <w:p w14:paraId="476E9247" w14:textId="77777777" w:rsidR="006642FA" w:rsidRPr="00C43FC8" w:rsidRDefault="008E13F3">
            <w:pPr>
              <w:spacing w:after="0"/>
              <w:jc w:val="center"/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-US"/>
              </w:rPr>
            </w:pPr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>Alemania controlaba las colonias en África.</w:t>
            </w:r>
          </w:p>
          <w:p w14:paraId="77EE8036" w14:textId="77777777" w:rsidR="006642FA" w:rsidRPr="00C43FC8" w:rsidRDefault="00664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910D28"/>
                <w:sz w:val="32"/>
                <w:szCs w:val="32"/>
                <w:lang w:val="es-US"/>
              </w:rPr>
            </w:pPr>
          </w:p>
        </w:tc>
        <w:tc>
          <w:tcPr>
            <w:tcW w:w="3234" w:type="dxa"/>
            <w:vAlign w:val="center"/>
          </w:tcPr>
          <w:p w14:paraId="13B99054" w14:textId="77777777" w:rsidR="006642FA" w:rsidRPr="00C43FC8" w:rsidRDefault="008E13F3">
            <w:pPr>
              <w:spacing w:after="0"/>
              <w:jc w:val="center"/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-US"/>
              </w:rPr>
            </w:pPr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>Rusia tenía una alianza con Serbia y Francia.</w:t>
            </w:r>
          </w:p>
          <w:p w14:paraId="50E2B1F8" w14:textId="77777777" w:rsidR="006642FA" w:rsidRPr="00C43FC8" w:rsidRDefault="00664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910D28"/>
                <w:sz w:val="32"/>
                <w:szCs w:val="32"/>
                <w:lang w:val="es-US"/>
              </w:rPr>
            </w:pPr>
          </w:p>
        </w:tc>
        <w:tc>
          <w:tcPr>
            <w:tcW w:w="3235" w:type="dxa"/>
            <w:vAlign w:val="center"/>
          </w:tcPr>
          <w:p w14:paraId="23D24D90" w14:textId="77777777" w:rsidR="006642FA" w:rsidRPr="00C43FC8" w:rsidRDefault="008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910D28"/>
                <w:sz w:val="32"/>
                <w:szCs w:val="32"/>
                <w:lang w:val="es-US"/>
              </w:rPr>
            </w:pPr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>La creencia o el deseo de un gobierno o de un pueblo de que un país debe mantener una fuerte capacidad militar y estar preparado para utilizarla agresivamente para defender o promover los intereses nacionales.</w:t>
            </w:r>
          </w:p>
        </w:tc>
      </w:tr>
    </w:tbl>
    <w:p w14:paraId="66A6EE72" w14:textId="77777777" w:rsidR="006642FA" w:rsidRPr="00C43FC8" w:rsidRDefault="006642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US"/>
        </w:rPr>
      </w:pPr>
    </w:p>
    <w:tbl>
      <w:tblPr>
        <w:tblStyle w:val="a1"/>
        <w:tblW w:w="13536" w:type="dxa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407"/>
        <w:gridCol w:w="3384"/>
        <w:gridCol w:w="3384"/>
        <w:gridCol w:w="3361"/>
      </w:tblGrid>
      <w:tr w:rsidR="006642FA" w:rsidRPr="00C43FC8" w14:paraId="339AB497" w14:textId="77777777">
        <w:trPr>
          <w:trHeight w:val="2141"/>
        </w:trPr>
        <w:tc>
          <w:tcPr>
            <w:tcW w:w="3407" w:type="dxa"/>
            <w:vAlign w:val="center"/>
          </w:tcPr>
          <w:p w14:paraId="2D166F25" w14:textId="77777777" w:rsidR="006642FA" w:rsidRPr="00C43FC8" w:rsidRDefault="00664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-US"/>
              </w:rPr>
            </w:pPr>
            <w:bookmarkStart w:id="0" w:name="_heading=h.gjdgxs" w:colFirst="0" w:colLast="0"/>
            <w:bookmarkEnd w:id="0"/>
          </w:p>
          <w:p w14:paraId="50B2AF37" w14:textId="77777777" w:rsidR="006642FA" w:rsidRPr="00E91EF4" w:rsidRDefault="008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>Francia perdió dos territorios, llamados Alsace-Lorraine, en un conflicto con Alemania en 1871. Francia deseaba firmemente la devolución de los dos territorios, lo que provocó un fuerte sentimiento antialemán de los ciudadanos franceses. Los habitantes de Alsace-Lorraine se consideraban franceses.</w:t>
            </w:r>
          </w:p>
          <w:p w14:paraId="71F8A379" w14:textId="77777777" w:rsidR="006642FA" w:rsidRPr="00E91EF4" w:rsidRDefault="006642FA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384" w:type="dxa"/>
            <w:vAlign w:val="center"/>
          </w:tcPr>
          <w:p w14:paraId="6AA458A2" w14:textId="77777777" w:rsidR="006642FA" w:rsidRPr="00C43FC8" w:rsidRDefault="006642FA">
            <w:pPr>
              <w:spacing w:after="0" w:line="240" w:lineRule="auto"/>
              <w:rPr>
                <w:rFonts w:asciiTheme="majorHAnsi" w:eastAsia="Times New Roman" w:hAnsiTheme="majorHAnsi" w:cstheme="majorHAnsi"/>
                <w:lang w:val="es-US"/>
              </w:rPr>
            </w:pPr>
          </w:p>
          <w:p w14:paraId="3DE92C79" w14:textId="77777777" w:rsidR="006642FA" w:rsidRPr="00C43FC8" w:rsidRDefault="008E13F3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sz w:val="18"/>
                <w:szCs w:val="18"/>
                <w:lang w:val="es-US"/>
              </w:rPr>
            </w:pPr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 xml:space="preserve">Un sistema en el que un </w:t>
            </w:r>
            <w:hyperlink r:id="rId7">
              <w:r>
                <w:rPr>
                  <w:rFonts w:asciiTheme="majorHAnsi" w:eastAsia="Roboto" w:hAnsiTheme="majorHAnsi" w:cstheme="majorHAnsi"/>
                  <w:color w:val="000000"/>
                  <w:sz w:val="21"/>
                  <w:szCs w:val="21"/>
                  <w:lang w:val="es"/>
                </w:rPr>
                <w:t>país</w:t>
              </w:r>
            </w:hyperlink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 xml:space="preserve"> </w:t>
            </w:r>
            <w:hyperlink r:id="rId8">
              <w:r>
                <w:rPr>
                  <w:rFonts w:asciiTheme="majorHAnsi" w:eastAsia="Roboto" w:hAnsiTheme="majorHAnsi" w:cstheme="majorHAnsi"/>
                  <w:color w:val="000000"/>
                  <w:sz w:val="21"/>
                  <w:szCs w:val="21"/>
                  <w:lang w:val="es"/>
                </w:rPr>
                <w:t>gobierna</w:t>
              </w:r>
            </w:hyperlink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 xml:space="preserve"> a otros </w:t>
            </w:r>
            <w:hyperlink r:id="rId9">
              <w:r>
                <w:rPr>
                  <w:rFonts w:asciiTheme="majorHAnsi" w:eastAsia="Roboto" w:hAnsiTheme="majorHAnsi" w:cstheme="majorHAnsi"/>
                  <w:color w:val="000000"/>
                  <w:sz w:val="21"/>
                  <w:szCs w:val="21"/>
                  <w:lang w:val="es"/>
                </w:rPr>
                <w:t>países</w:t>
              </w:r>
            </w:hyperlink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 xml:space="preserve">, a veces habiendo utilizado </w:t>
            </w:r>
            <w:hyperlink r:id="rId10">
              <w:r>
                <w:rPr>
                  <w:rFonts w:asciiTheme="majorHAnsi" w:eastAsia="Roboto" w:hAnsiTheme="majorHAnsi" w:cstheme="majorHAnsi"/>
                  <w:color w:val="000000"/>
                  <w:sz w:val="21"/>
                  <w:szCs w:val="21"/>
                  <w:lang w:val="es"/>
                </w:rPr>
                <w:t>la fuerza</w:t>
              </w:r>
            </w:hyperlink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 xml:space="preserve"> para conseguir </w:t>
            </w:r>
            <w:hyperlink r:id="rId11">
              <w:r>
                <w:rPr>
                  <w:rFonts w:asciiTheme="majorHAnsi" w:eastAsia="Roboto" w:hAnsiTheme="majorHAnsi" w:cstheme="majorHAnsi"/>
                  <w:color w:val="000000"/>
                  <w:sz w:val="21"/>
                  <w:szCs w:val="21"/>
                  <w:lang w:val="es"/>
                </w:rPr>
                <w:t>el poder</w:t>
              </w:r>
            </w:hyperlink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 xml:space="preserve"> sobre ellos.</w:t>
            </w:r>
          </w:p>
        </w:tc>
        <w:tc>
          <w:tcPr>
            <w:tcW w:w="3384" w:type="dxa"/>
            <w:vAlign w:val="center"/>
          </w:tcPr>
          <w:p w14:paraId="355BEDD5" w14:textId="77777777" w:rsidR="006642FA" w:rsidRPr="00C43FC8" w:rsidRDefault="008E13F3">
            <w:pPr>
              <w:spacing w:after="0"/>
              <w:jc w:val="center"/>
              <w:rPr>
                <w:rFonts w:asciiTheme="majorHAnsi" w:hAnsiTheme="majorHAnsi" w:cstheme="majorHAnsi"/>
                <w:lang w:val="es-US"/>
              </w:rPr>
            </w:pPr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>Identificación con la propia nación y apoyo a sus intereses, especialmente con exclusión o en detrimento de los intereses de otras naciones.</w:t>
            </w:r>
          </w:p>
        </w:tc>
        <w:tc>
          <w:tcPr>
            <w:tcW w:w="3361" w:type="dxa"/>
            <w:vAlign w:val="center"/>
          </w:tcPr>
          <w:p w14:paraId="22BFCFFC" w14:textId="77777777" w:rsidR="006642FA" w:rsidRPr="00C43FC8" w:rsidRDefault="008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lang w:val="es-US"/>
              </w:rPr>
            </w:pPr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>De 1910 a 1914, los países europeos aumentaron el gasto en defensa de forma significativa. Francia aumentó el gasto en defensa en un 10%, Gran Bretaña en un 13% y Alemania en un 73%.</w:t>
            </w:r>
          </w:p>
        </w:tc>
      </w:tr>
      <w:tr w:rsidR="006642FA" w:rsidRPr="00C43FC8" w14:paraId="2ECE9E5E" w14:textId="77777777">
        <w:trPr>
          <w:trHeight w:val="2272"/>
        </w:trPr>
        <w:tc>
          <w:tcPr>
            <w:tcW w:w="3407" w:type="dxa"/>
            <w:vAlign w:val="center"/>
          </w:tcPr>
          <w:p w14:paraId="510EC79E" w14:textId="77777777" w:rsidR="006642FA" w:rsidRPr="00C43FC8" w:rsidRDefault="008E13F3">
            <w:pPr>
              <w:spacing w:after="0"/>
              <w:jc w:val="center"/>
              <w:rPr>
                <w:rFonts w:asciiTheme="majorHAnsi" w:hAnsiTheme="majorHAnsi" w:cstheme="majorHAnsi"/>
                <w:lang w:val="es-US"/>
              </w:rPr>
            </w:pPr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>Gran Bretaña tenía acuerdos para proteger a Francia y Bélgica si eran invadidos.</w:t>
            </w:r>
          </w:p>
        </w:tc>
        <w:tc>
          <w:tcPr>
            <w:tcW w:w="3384" w:type="dxa"/>
            <w:vAlign w:val="center"/>
          </w:tcPr>
          <w:p w14:paraId="3F0CCC2B" w14:textId="77777777" w:rsidR="006642FA" w:rsidRPr="00C43FC8" w:rsidRDefault="008E13F3">
            <w:pPr>
              <w:spacing w:after="0"/>
              <w:jc w:val="center"/>
              <w:rPr>
                <w:rFonts w:asciiTheme="majorHAnsi" w:hAnsiTheme="majorHAnsi" w:cstheme="majorHAnsi"/>
                <w:lang w:val="es-US"/>
              </w:rPr>
            </w:pPr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>Francia controlaba las colonias de África y el sudeste de Asia, denominadas “Indochina” francesa, que incluían los actuales Vietnam, Laos y Camboya.</w:t>
            </w:r>
          </w:p>
        </w:tc>
        <w:tc>
          <w:tcPr>
            <w:tcW w:w="3384" w:type="dxa"/>
            <w:vAlign w:val="center"/>
          </w:tcPr>
          <w:p w14:paraId="69016A4E" w14:textId="77777777" w:rsidR="006642FA" w:rsidRPr="00C43FC8" w:rsidRDefault="008E13F3">
            <w:pPr>
              <w:spacing w:after="0"/>
              <w:jc w:val="center"/>
              <w:rPr>
                <w:rFonts w:asciiTheme="majorHAnsi" w:hAnsiTheme="majorHAnsi" w:cstheme="majorHAnsi"/>
                <w:lang w:val="es-US"/>
              </w:rPr>
            </w:pPr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>Alemania se convirtió en un país unificado en 1871 y estaba decidida a convertirse en una potencia política mundial.</w:t>
            </w:r>
          </w:p>
        </w:tc>
        <w:tc>
          <w:tcPr>
            <w:tcW w:w="3361" w:type="dxa"/>
            <w:vAlign w:val="center"/>
          </w:tcPr>
          <w:p w14:paraId="7658269F" w14:textId="77777777" w:rsidR="006642FA" w:rsidRPr="00C43FC8" w:rsidRDefault="008E1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lang w:val="es-US"/>
              </w:rPr>
            </w:pPr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>La Ley de la Marina Alemana de 1898 aumentó el número de barcos de guerra en Alemania de 9 a 12.</w:t>
            </w:r>
          </w:p>
        </w:tc>
      </w:tr>
      <w:tr w:rsidR="006642FA" w:rsidRPr="00C43FC8" w14:paraId="31EF9689" w14:textId="77777777">
        <w:trPr>
          <w:trHeight w:val="2141"/>
        </w:trPr>
        <w:tc>
          <w:tcPr>
            <w:tcW w:w="3407" w:type="dxa"/>
            <w:vAlign w:val="center"/>
          </w:tcPr>
          <w:p w14:paraId="479E58AF" w14:textId="77777777" w:rsidR="006642FA" w:rsidRPr="00C43FC8" w:rsidRDefault="008E13F3">
            <w:pPr>
              <w:spacing w:after="0"/>
              <w:jc w:val="center"/>
              <w:rPr>
                <w:rFonts w:asciiTheme="majorHAnsi" w:hAnsiTheme="majorHAnsi" w:cstheme="majorHAnsi"/>
                <w:lang w:val="es-US"/>
              </w:rPr>
            </w:pPr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>Acuerdo formal entre dos o más estados para apoyarse mutuamente en caso de guerra.</w:t>
            </w:r>
          </w:p>
        </w:tc>
        <w:tc>
          <w:tcPr>
            <w:tcW w:w="3384" w:type="dxa"/>
            <w:vAlign w:val="center"/>
          </w:tcPr>
          <w:p w14:paraId="20BD17EE" w14:textId="77777777" w:rsidR="006642FA" w:rsidRPr="00C43FC8" w:rsidRDefault="008E13F3">
            <w:pPr>
              <w:spacing w:after="0"/>
              <w:jc w:val="center"/>
              <w:rPr>
                <w:rFonts w:asciiTheme="majorHAnsi" w:hAnsiTheme="majorHAnsi" w:cstheme="majorHAnsi"/>
                <w:lang w:val="es-US"/>
              </w:rPr>
            </w:pPr>
            <w:bookmarkStart w:id="1" w:name="_heading=h.30j0zll" w:colFirst="0" w:colLast="0"/>
            <w:bookmarkEnd w:id="1"/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>Gran Bretaña controlaba toda la India, llamada el Raj británico.</w:t>
            </w:r>
          </w:p>
        </w:tc>
        <w:tc>
          <w:tcPr>
            <w:tcW w:w="3384" w:type="dxa"/>
            <w:vAlign w:val="center"/>
          </w:tcPr>
          <w:p w14:paraId="114BBD96" w14:textId="77777777" w:rsidR="006642FA" w:rsidRPr="00C43FC8" w:rsidRDefault="008E13F3">
            <w:pPr>
              <w:spacing w:after="0"/>
              <w:jc w:val="center"/>
              <w:rPr>
                <w:rFonts w:asciiTheme="majorHAnsi" w:hAnsiTheme="majorHAnsi" w:cstheme="majorHAnsi"/>
                <w:lang w:val="es-US"/>
              </w:rPr>
            </w:pPr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>El continente africano está bajo control europeo, excepto dos países, Liberia y Etiopía.</w:t>
            </w:r>
          </w:p>
        </w:tc>
        <w:tc>
          <w:tcPr>
            <w:tcW w:w="3361" w:type="dxa"/>
            <w:vAlign w:val="center"/>
          </w:tcPr>
          <w:p w14:paraId="21B4D8D8" w14:textId="77777777" w:rsidR="006642FA" w:rsidRPr="00C43FC8" w:rsidRDefault="008E13F3">
            <w:pPr>
              <w:spacing w:after="0"/>
              <w:jc w:val="center"/>
              <w:rPr>
                <w:rFonts w:asciiTheme="majorHAnsi" w:hAnsiTheme="majorHAnsi" w:cstheme="majorHAnsi"/>
                <w:lang w:val="es-US"/>
              </w:rPr>
            </w:pPr>
            <w:r>
              <w:rPr>
                <w:rFonts w:asciiTheme="majorHAnsi" w:eastAsia="Roboto" w:hAnsiTheme="majorHAnsi" w:cstheme="majorHAnsi"/>
                <w:color w:val="000000"/>
                <w:sz w:val="21"/>
                <w:szCs w:val="21"/>
                <w:lang w:val="es"/>
              </w:rPr>
              <w:t>Austria-Hungría era un gran imperio establecido en 1867, formado por muchas etnias diferentes, como checoslovacos, serbios y polacos. No querían ser controlados por el imperio austrohúngaro y deseaban tener sus propios países.</w:t>
            </w:r>
          </w:p>
        </w:tc>
      </w:tr>
    </w:tbl>
    <w:p w14:paraId="74A43AD3" w14:textId="3B56B2FD" w:rsidR="006642FA" w:rsidRPr="00C43FC8" w:rsidRDefault="006642F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lang w:val="es-US"/>
        </w:rPr>
      </w:pPr>
    </w:p>
    <w:p w14:paraId="76D010DD" w14:textId="4ABE6841" w:rsidR="000866DB" w:rsidRPr="00DE1AE5" w:rsidRDefault="00E91EF4" w:rsidP="00E91EF4">
      <w:pPr>
        <w:pStyle w:val="CaptionCutline"/>
        <w:rPr>
          <w:sz w:val="16"/>
          <w:szCs w:val="18"/>
          <w:lang w:val="es-US"/>
        </w:rPr>
      </w:pPr>
      <w:r w:rsidRPr="00DE1AE5">
        <w:rPr>
          <w:iCs/>
          <w:sz w:val="16"/>
          <w:szCs w:val="18"/>
          <w:lang w:val="es"/>
        </w:rPr>
        <w:t>Fuentes:</w:t>
      </w:r>
    </w:p>
    <w:p w14:paraId="2A85AA0B" w14:textId="06D78D5B" w:rsidR="000866DB" w:rsidRPr="00DE1AE5" w:rsidRDefault="000866DB" w:rsidP="00E91EF4">
      <w:pPr>
        <w:pStyle w:val="CaptionCutline"/>
        <w:rPr>
          <w:rStyle w:val="Hyperlink"/>
          <w:sz w:val="16"/>
          <w:szCs w:val="18"/>
          <w:lang w:val="es-US"/>
        </w:rPr>
      </w:pPr>
      <w:r w:rsidRPr="00DE1AE5">
        <w:rPr>
          <w:iCs/>
          <w:sz w:val="16"/>
          <w:szCs w:val="18"/>
          <w:lang w:val="es"/>
        </w:rPr>
        <w:t xml:space="preserve">Corner, T. (n.d.). Primera Guerra Mundial - Militarismo </w:t>
      </w:r>
      <w:hyperlink r:id="rId12" w:history="1">
        <w:r w:rsidRPr="00DE1AE5">
          <w:rPr>
            <w:rStyle w:val="Hyperlink"/>
            <w:iCs/>
            <w:sz w:val="16"/>
            <w:szCs w:val="18"/>
            <w:lang w:val="es"/>
          </w:rPr>
          <w:t>http://www.u.arizona.edu/~salvador/Spring%20thru%20February/World%20War%201/Causes%20of%20World%20War%20I,%20Militarism.pdf</w:t>
        </w:r>
      </w:hyperlink>
    </w:p>
    <w:p w14:paraId="47144207" w14:textId="05665F8F" w:rsidR="000866DB" w:rsidRPr="00DE1AE5" w:rsidRDefault="000866DB" w:rsidP="00E91EF4">
      <w:pPr>
        <w:pStyle w:val="CaptionCutline"/>
        <w:rPr>
          <w:rStyle w:val="Hyperlink"/>
          <w:sz w:val="16"/>
          <w:szCs w:val="18"/>
          <w:lang w:val="es-US"/>
        </w:rPr>
      </w:pPr>
      <w:proofErr w:type="spellStart"/>
      <w:r w:rsidRPr="00DE1AE5">
        <w:rPr>
          <w:iCs/>
          <w:sz w:val="16"/>
          <w:szCs w:val="18"/>
          <w:lang w:val="es"/>
        </w:rPr>
        <w:t>Kronenbitter</w:t>
      </w:r>
      <w:proofErr w:type="spellEnd"/>
      <w:r w:rsidRPr="00DE1AE5">
        <w:rPr>
          <w:iCs/>
          <w:sz w:val="16"/>
          <w:szCs w:val="18"/>
          <w:lang w:val="es"/>
        </w:rPr>
        <w:t xml:space="preserve">, G. (2019, 15 de agosto). Sistema de alianzas 1914 </w:t>
      </w:r>
      <w:hyperlink r:id="rId13" w:history="1">
        <w:r w:rsidRPr="00DE1AE5">
          <w:rPr>
            <w:rStyle w:val="Hyperlink"/>
            <w:iCs/>
            <w:sz w:val="16"/>
            <w:szCs w:val="18"/>
            <w:lang w:val="es"/>
          </w:rPr>
          <w:t>https://encyclopedia.1914-1918-online.net/article/alliance_system_1914</w:t>
        </w:r>
      </w:hyperlink>
    </w:p>
    <w:p w14:paraId="490707DB" w14:textId="1799E156" w:rsidR="000866DB" w:rsidRPr="00DE1AE5" w:rsidRDefault="000866DB" w:rsidP="00E91EF4">
      <w:pPr>
        <w:pStyle w:val="CaptionCutline"/>
        <w:rPr>
          <w:rStyle w:val="Hyperlink"/>
          <w:sz w:val="16"/>
          <w:szCs w:val="18"/>
          <w:lang w:val="es-US"/>
        </w:rPr>
      </w:pPr>
      <w:proofErr w:type="spellStart"/>
      <w:r w:rsidRPr="00DE1AE5">
        <w:rPr>
          <w:iCs/>
          <w:sz w:val="16"/>
          <w:szCs w:val="18"/>
          <w:lang w:val="es"/>
        </w:rPr>
        <w:t>Llewellyn</w:t>
      </w:r>
      <w:proofErr w:type="spellEnd"/>
      <w:r w:rsidRPr="00DE1AE5">
        <w:rPr>
          <w:iCs/>
          <w:sz w:val="16"/>
          <w:szCs w:val="18"/>
          <w:lang w:val="es"/>
        </w:rPr>
        <w:t xml:space="preserve">, J., y Thompson, S. (2020, 23 de mayo). El imperialismo como causa de la Primera Guerra Mundial </w:t>
      </w:r>
      <w:hyperlink r:id="rId14" w:history="1">
        <w:r w:rsidRPr="00DE1AE5">
          <w:rPr>
            <w:rStyle w:val="Hyperlink"/>
            <w:iCs/>
            <w:sz w:val="16"/>
            <w:szCs w:val="18"/>
            <w:lang w:val="es"/>
          </w:rPr>
          <w:t>https://alphahistory.com/worldwar1/imperialism/</w:t>
        </w:r>
      </w:hyperlink>
    </w:p>
    <w:p w14:paraId="0777AFE9" w14:textId="756EB619" w:rsidR="000866DB" w:rsidRPr="00DE1AE5" w:rsidRDefault="000866DB" w:rsidP="00C43FC8">
      <w:pPr>
        <w:pStyle w:val="CaptionCutline"/>
        <w:rPr>
          <w:lang w:val="es-US"/>
        </w:rPr>
      </w:pPr>
      <w:r w:rsidRPr="00DE1AE5">
        <w:rPr>
          <w:iCs/>
          <w:sz w:val="16"/>
          <w:szCs w:val="18"/>
          <w:lang w:val="es"/>
        </w:rPr>
        <w:lastRenderedPageBreak/>
        <w:t xml:space="preserve">Primera Guerra Mundial - Nacionalismo. (n.d.) </w:t>
      </w:r>
      <w:hyperlink r:id="rId15" w:history="1">
        <w:r w:rsidRPr="00DE1AE5">
          <w:rPr>
            <w:rStyle w:val="Hyperlink"/>
            <w:iCs/>
            <w:sz w:val="16"/>
            <w:szCs w:val="18"/>
            <w:lang w:val="es"/>
          </w:rPr>
          <w:t>http://www.u.arizona.edu/~salvador/Spring%20thru%20February/World%20War%201/Causes%20of%20WI%20Nationalism.pdf</w:t>
        </w:r>
      </w:hyperlink>
    </w:p>
    <w:sectPr w:rsidR="000866DB" w:rsidRPr="00DE1AE5">
      <w:footerReference w:type="default" r:id="rId1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47163" w14:textId="77777777" w:rsidR="00200441" w:rsidRDefault="00200441">
      <w:pPr>
        <w:spacing w:after="0" w:line="240" w:lineRule="auto"/>
      </w:pPr>
      <w:r>
        <w:separator/>
      </w:r>
    </w:p>
  </w:endnote>
  <w:endnote w:type="continuationSeparator" w:id="0">
    <w:p w14:paraId="4403653B" w14:textId="77777777" w:rsidR="00200441" w:rsidRDefault="0020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0C5D5" w14:textId="77777777" w:rsidR="006642FA" w:rsidRDefault="008E13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3456DCB6" wp14:editId="035E0225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884F89E" wp14:editId="3042A190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3CD4D4" w14:textId="3E0D693C" w:rsidR="006642FA" w:rsidRPr="00C43FC8" w:rsidRDefault="00EF5907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lang w:val="es-US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THE M.A.I.N. CARICATURAS DE LA PRIMERA GUERRA MUNDIAL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84F89E" id="Rectangle 9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" filled="f" stroked="f">
              <v:textbox inset="2.53958mm,1.2694mm,2.53958mm,1.2694mm">
                <w:txbxContent>
                  <w:p w14:paraId="073CD4D4" w14:textId="3E0D693C" w:rsidR="006642FA" w:rsidRPr="00C43FC8" w:rsidRDefault="00EF5907">
                    <w:pPr>
                      <w:spacing w:after="0" w:line="240" w:lineRule="auto"/>
                      <w:jc w:val="right"/>
                      <w:textDirection w:val="btLr"/>
                      <w:rPr>
                        <w:lang w:val="es-US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  <w:lang w:val="es"/>
                      </w:rPr>
                      <w:t>THE M.A.I.N. CARICATURAS DE LA PRIMERA GUERRA MUNDIAL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0BE6B" w14:textId="77777777" w:rsidR="00200441" w:rsidRDefault="00200441">
      <w:pPr>
        <w:spacing w:after="0" w:line="240" w:lineRule="auto"/>
      </w:pPr>
      <w:r>
        <w:separator/>
      </w:r>
    </w:p>
  </w:footnote>
  <w:footnote w:type="continuationSeparator" w:id="0">
    <w:p w14:paraId="4CF8C8B7" w14:textId="77777777" w:rsidR="00200441" w:rsidRDefault="00200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2FA"/>
    <w:rsid w:val="000866DB"/>
    <w:rsid w:val="000D091A"/>
    <w:rsid w:val="00200441"/>
    <w:rsid w:val="006642FA"/>
    <w:rsid w:val="008E13F3"/>
    <w:rsid w:val="00B719E1"/>
    <w:rsid w:val="00C43FC8"/>
    <w:rsid w:val="00DE1AE5"/>
    <w:rsid w:val="00E91EF4"/>
    <w:rsid w:val="00E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D24693"/>
  <w15:docId w15:val="{63E36B7E-A649-4561-8DFF-F7573920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us/dictionary/english/rule" TargetMode="External"/><Relationship Id="rId13" Type="http://schemas.openxmlformats.org/officeDocument/2006/relationships/hyperlink" Target="https://encyclopedia.1914-1918-online.net/article/alliance_system_191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us/dictionary/english/country" TargetMode="External"/><Relationship Id="rId12" Type="http://schemas.openxmlformats.org/officeDocument/2006/relationships/hyperlink" Target="http://www.u.arizona.edu/~salvador/Spring%20thru%20February/World%20War%201/Causes%20of%20World%20War%20I,%20Militarism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ictionary.cambridge.org/us/dictionary/english/pow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.arizona.edu/~salvador/Spring%20thru%20February/World%20War%201/Causes%20of%20WI%20Nationalism.pdf" TargetMode="External"/><Relationship Id="rId10" Type="http://schemas.openxmlformats.org/officeDocument/2006/relationships/hyperlink" Target="https://dictionary.cambridge.org/us/dictionary/english/for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us/dictionary/english/country" TargetMode="External"/><Relationship Id="rId14" Type="http://schemas.openxmlformats.org/officeDocument/2006/relationships/hyperlink" Target="https://alphahistory.com/worldwar1/imperialis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yFWA2QbkQyvLVDl6d6zPbyv9SJg==">AMUW2mWkKM9d3vy9H9xEMeHu861xfVeowEvNHuqPXotmKbKVcPtZ0TZlbFr8dLUDMnuFTNlLBvptIf4c7gEEBY3Fntf6wgFz8xVLdjH11KxZnnHuewuKENWX1dBtHwkdbcN/FJ08Adpp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Anna G. Patrick</cp:lastModifiedBy>
  <cp:revision>7</cp:revision>
  <cp:lastPrinted>2022-05-12T19:00:00Z</cp:lastPrinted>
  <dcterms:created xsi:type="dcterms:W3CDTF">2021-04-27T17:35:00Z</dcterms:created>
  <dcterms:modified xsi:type="dcterms:W3CDTF">2022-05-12T19:01:00Z</dcterms:modified>
</cp:coreProperties>
</file>