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8AC" w:rsidRPr="00D168AC" w:rsidRDefault="00D168AC" w:rsidP="00D168AC">
      <w:pPr>
        <w:shd w:val="clear" w:color="auto" w:fill="F8F9F4"/>
        <w:spacing w:before="100" w:beforeAutospacing="1" w:after="100" w:afterAutospacing="1" w:line="240" w:lineRule="auto"/>
        <w:jc w:val="center"/>
        <w:outlineLvl w:val="2"/>
        <w:rPr>
          <w:rFonts w:ascii="Georgia" w:eastAsia="Times New Roman" w:hAnsi="Georgia" w:cs="Times New Roman"/>
          <w:b/>
          <w:bCs/>
          <w:color w:val="171E24"/>
          <w:sz w:val="27"/>
          <w:szCs w:val="27"/>
        </w:rPr>
      </w:pPr>
      <w:r>
        <w:rPr>
          <w:rFonts w:ascii="Georgia" w:eastAsia="Times New Roman" w:hAnsi="Georgia" w:cs="Times New Roman"/>
          <w:b/>
          <w:bCs/>
          <w:color w:val="171E24"/>
          <w:sz w:val="27"/>
          <w:szCs w:val="27"/>
        </w:rPr>
        <w:t>The Voting Rights Act of 1965</w:t>
      </w: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r w:rsidRPr="00D168AC">
        <w:rPr>
          <w:rFonts w:eastAsia="Times New Roman" w:cstheme="minorHAnsi"/>
          <w:bCs/>
          <w:color w:val="171E24"/>
          <w:sz w:val="24"/>
          <w:szCs w:val="24"/>
        </w:rPr>
        <w:t>The Voting Rights Act of 1965, signed into law by President Lyndon B. Johnson, aimed to overcome legal barriers at the state and local levels that prevented African Americans from exercising their right to vote as guaranteed under the 15th Amendment to the U.S. Constitution. The Voting Rights Act is considered one of the most far-reaching pieces of civil rights legislation in U.S. history.</w:t>
      </w: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r w:rsidRPr="00D168AC">
        <w:rPr>
          <w:rFonts w:eastAsia="Times New Roman" w:cstheme="minorHAnsi"/>
          <w:bCs/>
          <w:color w:val="171E24"/>
          <w:sz w:val="24"/>
          <w:szCs w:val="24"/>
        </w:rPr>
        <w:t>Lyndon B. Johnson assumed the presidency in November 1963 upon the assassination of President John F. Kennedy. In the presidential race of 1964, Johnson was officially elected in a landslide victory and used this mandate to push for legislation he believed would improve the American way of life, such as stronger voting-rights laws.</w:t>
      </w: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r w:rsidRPr="00D168AC">
        <w:rPr>
          <w:rFonts w:eastAsia="Times New Roman" w:cstheme="minorHAnsi"/>
          <w:bCs/>
          <w:color w:val="171E24"/>
          <w:sz w:val="24"/>
          <w:szCs w:val="24"/>
        </w:rPr>
        <w:t>After the Civil War, the 15th Amendment, ratified in 1870, prohibited states from denying a male citizen the right to vote based on “race, color or previous condition of servitude.” Nevertheless, in the</w:t>
      </w:r>
      <w:r w:rsidRPr="00D168AC">
        <w:rPr>
          <w:rFonts w:eastAsia="Times New Roman" w:cstheme="minorHAnsi"/>
          <w:bCs/>
          <w:color w:val="171E24"/>
          <w:sz w:val="24"/>
          <w:szCs w:val="24"/>
        </w:rPr>
        <w:t xml:space="preserve"> following</w:t>
      </w:r>
      <w:r w:rsidRPr="00D168AC">
        <w:rPr>
          <w:rFonts w:eastAsia="Times New Roman" w:cstheme="minorHAnsi"/>
          <w:bCs/>
          <w:color w:val="171E24"/>
          <w:sz w:val="24"/>
          <w:szCs w:val="24"/>
        </w:rPr>
        <w:t xml:space="preserve"> decades, various discriminatory practices were used to prevent African Americans, particularly those in the South, from exercising their right to vote.</w:t>
      </w:r>
    </w:p>
    <w:p w:rsidR="00DE22BD"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r w:rsidRPr="00D168AC">
        <w:rPr>
          <w:rFonts w:eastAsia="Times New Roman" w:cstheme="minorHAnsi"/>
          <w:bCs/>
          <w:color w:val="171E24"/>
          <w:sz w:val="24"/>
          <w:szCs w:val="24"/>
        </w:rPr>
        <w:t>During the civil rights movement of the 1950s and 1960s, voting rights activists in the South were subjected to various forms of mistreatment and violence. One event that outraged many Americans occurred on March 7, 1965, when peaceful participants in a Selma to Montgomery march for voting rights were met by Alabama state troopers who attacked them with nightsticks, tear gas and whips after they refused to turn back.</w:t>
      </w: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r w:rsidRPr="00D168AC">
        <w:rPr>
          <w:rFonts w:eastAsia="Times New Roman" w:cstheme="minorHAnsi"/>
          <w:bCs/>
          <w:color w:val="171E24"/>
          <w:sz w:val="24"/>
          <w:szCs w:val="24"/>
        </w:rPr>
        <w:t>In the wake of the shocking incident, Johnson called for comprehensive voting rights legislation. In a speech to a joint session of Congress on March 15, 1965, the president outlined the devious ways in which election officials denied African-American citizens the vote.</w:t>
      </w: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r w:rsidRPr="00D168AC">
        <w:rPr>
          <w:rFonts w:eastAsia="Times New Roman" w:cstheme="minorHAnsi"/>
          <w:bCs/>
          <w:color w:val="171E24"/>
          <w:sz w:val="24"/>
          <w:szCs w:val="24"/>
        </w:rPr>
        <w:t>Blacks attempting to vote often were told by election officials that they had gotten the date, time or polling place wrong, that they possessed insufficient literacy skills or that they had filled out an application incorrectly. Blacks, whose population suffered a high rate of illiteracy due to centuries of oppression and poverty, often would be forced to take literacy tests, which they sometimes failed.</w:t>
      </w: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r w:rsidRPr="00D168AC">
        <w:rPr>
          <w:rFonts w:eastAsia="Times New Roman" w:cstheme="minorHAnsi"/>
          <w:bCs/>
          <w:color w:val="171E24"/>
          <w:sz w:val="24"/>
          <w:szCs w:val="24"/>
        </w:rPr>
        <w:t xml:space="preserve">Johnson also told Congress that voting officials, primarily in Southern states, had been known to force black voters to “recite the entire Constitution or explain the most complex provisions of state laws,” </w:t>
      </w:r>
      <w:r w:rsidRPr="00D168AC">
        <w:rPr>
          <w:rFonts w:eastAsia="Times New Roman" w:cstheme="minorHAnsi"/>
          <w:bCs/>
          <w:color w:val="171E24"/>
          <w:sz w:val="24"/>
          <w:szCs w:val="24"/>
        </w:rPr>
        <w:t>a task</w:t>
      </w:r>
      <w:r>
        <w:rPr>
          <w:rFonts w:eastAsia="Times New Roman" w:cstheme="minorHAnsi"/>
          <w:bCs/>
          <w:color w:val="171E24"/>
          <w:sz w:val="24"/>
          <w:szCs w:val="24"/>
        </w:rPr>
        <w:t xml:space="preserve"> that</w:t>
      </w:r>
      <w:r w:rsidRPr="00D168AC">
        <w:rPr>
          <w:rFonts w:eastAsia="Times New Roman" w:cstheme="minorHAnsi"/>
          <w:bCs/>
          <w:color w:val="171E24"/>
          <w:sz w:val="24"/>
          <w:szCs w:val="24"/>
        </w:rPr>
        <w:t xml:space="preserve"> most white voter</w:t>
      </w:r>
      <w:r>
        <w:rPr>
          <w:rFonts w:eastAsia="Times New Roman" w:cstheme="minorHAnsi"/>
          <w:bCs/>
          <w:color w:val="171E24"/>
          <w:sz w:val="24"/>
          <w:szCs w:val="24"/>
        </w:rPr>
        <w:t>s</w:t>
      </w:r>
      <w:r w:rsidRPr="00D168AC">
        <w:rPr>
          <w:rFonts w:eastAsia="Times New Roman" w:cstheme="minorHAnsi"/>
          <w:bCs/>
          <w:color w:val="171E24"/>
          <w:sz w:val="24"/>
          <w:szCs w:val="24"/>
        </w:rPr>
        <w:t xml:space="preserve"> would have been hard-pressed to accomplish. In some cases, even blacks with college degrees were turned away from the polls.</w:t>
      </w: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r w:rsidRPr="00D168AC">
        <w:rPr>
          <w:rFonts w:eastAsia="Times New Roman" w:cstheme="minorHAnsi"/>
          <w:bCs/>
          <w:color w:val="171E24"/>
          <w:sz w:val="24"/>
          <w:szCs w:val="24"/>
        </w:rPr>
        <w:t>The voting rights bill was passed in the U.S. Senate by a 77-19 vote on May 26, 1965. After debating the bill for more than a month, the U.S. House of Representatives passed the bill by a vote of 333-85 on July 9.</w:t>
      </w:r>
    </w:p>
    <w:p w:rsidR="00DE22BD" w:rsidRDefault="00DE22BD"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p>
    <w:p w:rsidR="00DE22BD" w:rsidRDefault="00DE22BD"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r w:rsidRPr="00D168AC">
        <w:rPr>
          <w:rFonts w:eastAsia="Times New Roman" w:cstheme="minorHAnsi"/>
          <w:bCs/>
          <w:color w:val="171E24"/>
          <w:sz w:val="24"/>
          <w:szCs w:val="24"/>
        </w:rPr>
        <w:t>Johnson signed the Voting Rights Act into law on August 6, 1965, with Martin Luther King Jr. and other civil rights leaders present at the ceremony.</w:t>
      </w:r>
      <w:r w:rsidR="00DE22BD">
        <w:rPr>
          <w:rFonts w:eastAsia="Times New Roman" w:cstheme="minorHAnsi"/>
          <w:bCs/>
          <w:color w:val="171E24"/>
          <w:sz w:val="24"/>
          <w:szCs w:val="24"/>
        </w:rPr>
        <w:t xml:space="preserve">  </w:t>
      </w:r>
      <w:r w:rsidRPr="00D168AC">
        <w:rPr>
          <w:rFonts w:eastAsia="Times New Roman" w:cstheme="minorHAnsi"/>
          <w:bCs/>
          <w:color w:val="171E24"/>
          <w:sz w:val="24"/>
          <w:szCs w:val="24"/>
        </w:rPr>
        <w:t>The act banned the use of literacy tests, provided for federal oversight of voter registration in areas where less than 50 percent of the non-white population had not registered to vote, and authorized the U.S. attorney general to investigate the use of poll taxes in state and local elections.</w:t>
      </w: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r w:rsidRPr="00D168AC">
        <w:rPr>
          <w:rFonts w:eastAsia="Times New Roman" w:cstheme="minorHAnsi"/>
          <w:bCs/>
          <w:color w:val="171E24"/>
          <w:sz w:val="24"/>
          <w:szCs w:val="24"/>
        </w:rPr>
        <w:t>In 1964, the 24th Amendment made poll taxes illegal in federal elections; poll taxes in state elections were banned in 1966 by the U.S. Supreme Court.</w:t>
      </w: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r>
        <w:rPr>
          <w:rFonts w:eastAsia="Times New Roman" w:cstheme="minorHAnsi"/>
          <w:bCs/>
          <w:color w:val="171E24"/>
          <w:sz w:val="24"/>
          <w:szCs w:val="24"/>
        </w:rPr>
        <w:t>I</w:t>
      </w:r>
      <w:r w:rsidRPr="00D168AC">
        <w:rPr>
          <w:rFonts w:eastAsia="Times New Roman" w:cstheme="minorHAnsi"/>
          <w:bCs/>
          <w:color w:val="171E24"/>
          <w:sz w:val="24"/>
          <w:szCs w:val="24"/>
        </w:rPr>
        <w:t>n 1965, at the time of the passage of the Voting Rights Act, there were six African-American members of the U.S. House of Representatives and no blacks in the U.S. Senate. By 1971, there were 13 members of the House and one black member of the Senate.</w:t>
      </w: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r w:rsidRPr="00D168AC">
        <w:rPr>
          <w:rFonts w:eastAsia="Times New Roman" w:cstheme="minorHAnsi"/>
          <w:bCs/>
          <w:color w:val="171E24"/>
          <w:sz w:val="24"/>
          <w:szCs w:val="24"/>
        </w:rPr>
        <w:t>Although the Voting Rights Act passed, state and local enforcement of the law was weak, and it often was ignored outright, mainly in the South and in areas where the proportion of blacks in the population was high and their vote threatened the political status quo.</w:t>
      </w:r>
    </w:p>
    <w:p w:rsidR="00D168AC" w:rsidRP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r w:rsidRPr="00D168AC">
        <w:rPr>
          <w:rFonts w:eastAsia="Times New Roman" w:cstheme="minorHAnsi"/>
          <w:bCs/>
          <w:color w:val="171E24"/>
          <w:sz w:val="24"/>
          <w:szCs w:val="24"/>
        </w:rPr>
        <w:t>Still, the Voting Rights Act gave African-American voters the legal means to challenge voting restrictions and vastly improved voter turnout. In Mississippi alone, voter turnout among blacks increased from 6 percent in 1964 to 59 percent in 1969.</w:t>
      </w:r>
    </w:p>
    <w:p w:rsidR="00D168AC" w:rsidRDefault="00D168AC"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r w:rsidRPr="00D168AC">
        <w:rPr>
          <w:rFonts w:eastAsia="Times New Roman" w:cstheme="minorHAnsi"/>
          <w:bCs/>
          <w:color w:val="171E24"/>
          <w:sz w:val="24"/>
          <w:szCs w:val="24"/>
        </w:rPr>
        <w:t>Since its passage, the Voting Rights Act has been amended to include such features as the protection of voting rights for non-English speaking American citizen</w:t>
      </w:r>
      <w:r w:rsidR="00DE22BD">
        <w:rPr>
          <w:rFonts w:eastAsia="Times New Roman" w:cstheme="minorHAnsi"/>
          <w:bCs/>
          <w:color w:val="171E24"/>
          <w:sz w:val="24"/>
          <w:szCs w:val="24"/>
        </w:rPr>
        <w:t>.</w:t>
      </w:r>
    </w:p>
    <w:p w:rsidR="00DE22BD" w:rsidRDefault="00DE22BD"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p>
    <w:p w:rsidR="00DE22BD" w:rsidRDefault="00DE22BD"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r>
        <w:rPr>
          <w:rFonts w:eastAsia="Times New Roman" w:cstheme="minorHAnsi"/>
          <w:bCs/>
          <w:color w:val="171E24"/>
          <w:sz w:val="24"/>
          <w:szCs w:val="24"/>
        </w:rPr>
        <w:t xml:space="preserve">Source: History.com Staff. (2009).  Voting rights act of 1965. History.com Retrieved from: </w:t>
      </w:r>
      <w:hyperlink r:id="rId6" w:history="1">
        <w:r w:rsidRPr="006F78D4">
          <w:rPr>
            <w:rStyle w:val="Hyperlink"/>
            <w:rFonts w:eastAsia="Times New Roman" w:cstheme="minorHAnsi"/>
            <w:bCs/>
            <w:sz w:val="24"/>
            <w:szCs w:val="24"/>
          </w:rPr>
          <w:t>https://www.history.com/topics/black-history/voting-rights-act</w:t>
        </w:r>
      </w:hyperlink>
    </w:p>
    <w:p w:rsidR="00DE22BD" w:rsidRPr="00D168AC" w:rsidRDefault="00DE22BD" w:rsidP="00D168AC">
      <w:pPr>
        <w:shd w:val="clear" w:color="auto" w:fill="F8F9F4"/>
        <w:spacing w:before="100" w:beforeAutospacing="1" w:after="100" w:afterAutospacing="1" w:line="240" w:lineRule="auto"/>
        <w:outlineLvl w:val="2"/>
        <w:rPr>
          <w:rFonts w:eastAsia="Times New Roman" w:cstheme="minorHAnsi"/>
          <w:bCs/>
          <w:color w:val="171E24"/>
          <w:sz w:val="24"/>
          <w:szCs w:val="24"/>
        </w:rPr>
      </w:pPr>
      <w:bookmarkStart w:id="0" w:name="_GoBack"/>
      <w:bookmarkEnd w:id="0"/>
    </w:p>
    <w:sectPr w:rsidR="00DE22BD" w:rsidRPr="00D168A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4B9" w:rsidRDefault="008A14B9" w:rsidP="00DE22BD">
      <w:pPr>
        <w:spacing w:after="0" w:line="240" w:lineRule="auto"/>
      </w:pPr>
      <w:r>
        <w:separator/>
      </w:r>
    </w:p>
  </w:endnote>
  <w:endnote w:type="continuationSeparator" w:id="0">
    <w:p w:rsidR="008A14B9" w:rsidRDefault="008A14B9" w:rsidP="00DE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2BD" w:rsidRDefault="00DE22BD" w:rsidP="00DE22BD">
    <w:pPr>
      <w:pStyle w:val="Foot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2819400</wp:posOffset>
              </wp:positionH>
              <wp:positionV relativeFrom="paragraph">
                <wp:posOffset>-19050</wp:posOffset>
              </wp:positionV>
              <wp:extent cx="2600325" cy="3143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600325" cy="314325"/>
                      </a:xfrm>
                      <a:prstGeom prst="rect">
                        <a:avLst/>
                      </a:prstGeom>
                      <a:solidFill>
                        <a:schemeClr val="lt1"/>
                      </a:solidFill>
                      <a:ln w="6350">
                        <a:noFill/>
                      </a:ln>
                    </wps:spPr>
                    <wps:txbx>
                      <w:txbxContent>
                        <w:p w:rsidR="00DE22BD" w:rsidRDefault="00DE22BD" w:rsidP="00DE22BD">
                          <w:pPr>
                            <w:jc w:val="right"/>
                          </w:pPr>
                          <w:r>
                            <w:t>LBJ AND VOTING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2pt;margin-top:-1.5pt;width:204.7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" fillcolor="white [3201]" stroked="f" strokeweight=".5pt">
              <v:textbox>
                <w:txbxContent>
                  <w:p w:rsidR="00DE22BD" w:rsidRDefault="00DE22BD" w:rsidP="00DE22BD">
                    <w:pPr>
                      <w:jc w:val="right"/>
                    </w:pPr>
                    <w:r>
                      <w:t>LBJ AND VOTING RIGHTS</w:t>
                    </w:r>
                  </w:p>
                </w:txbxContent>
              </v:textbox>
            </v:shape>
          </w:pict>
        </mc:Fallback>
      </mc:AlternateContent>
    </w:r>
    <w:r>
      <w:rPr>
        <w:noProof/>
      </w:rPr>
      <w:drawing>
        <wp:inline distT="0" distB="0" distL="0" distR="0">
          <wp:extent cx="4572000"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4B9" w:rsidRDefault="008A14B9" w:rsidP="00DE22BD">
      <w:pPr>
        <w:spacing w:after="0" w:line="240" w:lineRule="auto"/>
      </w:pPr>
      <w:r>
        <w:separator/>
      </w:r>
    </w:p>
  </w:footnote>
  <w:footnote w:type="continuationSeparator" w:id="0">
    <w:p w:rsidR="008A14B9" w:rsidRDefault="008A14B9" w:rsidP="00DE22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AC"/>
    <w:rsid w:val="00374830"/>
    <w:rsid w:val="008A14B9"/>
    <w:rsid w:val="00D0612A"/>
    <w:rsid w:val="00D168AC"/>
    <w:rsid w:val="00DE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FF627"/>
  <w15:chartTrackingRefBased/>
  <w15:docId w15:val="{1A374FD8-5B7C-4B7B-8997-E60ABDB8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168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168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D168A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68A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168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68AC"/>
    <w:rPr>
      <w:color w:val="0000FF"/>
      <w:u w:val="single"/>
    </w:rPr>
  </w:style>
  <w:style w:type="character" w:styleId="Emphasis">
    <w:name w:val="Emphasis"/>
    <w:basedOn w:val="DefaultParagraphFont"/>
    <w:uiPriority w:val="20"/>
    <w:qFormat/>
    <w:rsid w:val="00D168AC"/>
    <w:rPr>
      <w:i/>
      <w:iCs/>
    </w:rPr>
  </w:style>
  <w:style w:type="character" w:customStyle="1" w:styleId="Heading2Char">
    <w:name w:val="Heading 2 Char"/>
    <w:basedOn w:val="DefaultParagraphFont"/>
    <w:link w:val="Heading2"/>
    <w:uiPriority w:val="9"/>
    <w:semiHidden/>
    <w:rsid w:val="00D168AC"/>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168AC"/>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DE2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2BD"/>
  </w:style>
  <w:style w:type="paragraph" w:styleId="Footer">
    <w:name w:val="footer"/>
    <w:basedOn w:val="Normal"/>
    <w:link w:val="FooterChar"/>
    <w:uiPriority w:val="99"/>
    <w:unhideWhenUsed/>
    <w:rsid w:val="00DE2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2BD"/>
  </w:style>
  <w:style w:type="character" w:styleId="UnresolvedMention">
    <w:name w:val="Unresolved Mention"/>
    <w:basedOn w:val="DefaultParagraphFont"/>
    <w:uiPriority w:val="99"/>
    <w:semiHidden/>
    <w:unhideWhenUsed/>
    <w:rsid w:val="00DE2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864976">
      <w:bodyDiv w:val="1"/>
      <w:marLeft w:val="0"/>
      <w:marRight w:val="0"/>
      <w:marTop w:val="0"/>
      <w:marBottom w:val="0"/>
      <w:divBdr>
        <w:top w:val="none" w:sz="0" w:space="0" w:color="auto"/>
        <w:left w:val="none" w:sz="0" w:space="0" w:color="auto"/>
        <w:bottom w:val="none" w:sz="0" w:space="0" w:color="auto"/>
        <w:right w:val="none" w:sz="0" w:space="0" w:color="auto"/>
      </w:divBdr>
      <w:divsChild>
        <w:div w:id="984821225">
          <w:marLeft w:val="0"/>
          <w:marRight w:val="0"/>
          <w:marTop w:val="0"/>
          <w:marBottom w:val="0"/>
          <w:divBdr>
            <w:top w:val="none" w:sz="0" w:space="0" w:color="auto"/>
            <w:left w:val="none" w:sz="0" w:space="0" w:color="auto"/>
            <w:bottom w:val="none" w:sz="0" w:space="0" w:color="auto"/>
            <w:right w:val="none" w:sz="0" w:space="0" w:color="auto"/>
          </w:divBdr>
          <w:divsChild>
            <w:div w:id="1550460151">
              <w:marLeft w:val="0"/>
              <w:marRight w:val="0"/>
              <w:marTop w:val="0"/>
              <w:marBottom w:val="240"/>
              <w:divBdr>
                <w:top w:val="none" w:sz="0" w:space="0" w:color="auto"/>
                <w:left w:val="none" w:sz="0" w:space="0" w:color="auto"/>
                <w:bottom w:val="none" w:sz="0" w:space="0" w:color="auto"/>
                <w:right w:val="none" w:sz="0" w:space="0" w:color="auto"/>
              </w:divBdr>
              <w:divsChild>
                <w:div w:id="1402557975">
                  <w:marLeft w:val="0"/>
                  <w:marRight w:val="0"/>
                  <w:marTop w:val="0"/>
                  <w:marBottom w:val="0"/>
                  <w:divBdr>
                    <w:top w:val="none" w:sz="0" w:space="0" w:color="auto"/>
                    <w:left w:val="none" w:sz="0" w:space="0" w:color="auto"/>
                    <w:bottom w:val="none" w:sz="0" w:space="0" w:color="auto"/>
                    <w:right w:val="none" w:sz="0" w:space="0" w:color="auto"/>
                  </w:divBdr>
                  <w:divsChild>
                    <w:div w:id="413012385">
                      <w:marLeft w:val="0"/>
                      <w:marRight w:val="0"/>
                      <w:marTop w:val="0"/>
                      <w:marBottom w:val="0"/>
                      <w:divBdr>
                        <w:top w:val="none" w:sz="0" w:space="0" w:color="auto"/>
                        <w:left w:val="none" w:sz="0" w:space="0" w:color="auto"/>
                        <w:bottom w:val="none" w:sz="0" w:space="0" w:color="auto"/>
                        <w:right w:val="none" w:sz="0" w:space="0" w:color="auto"/>
                      </w:divBdr>
                      <w:divsChild>
                        <w:div w:id="2042978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74525283">
      <w:bodyDiv w:val="1"/>
      <w:marLeft w:val="0"/>
      <w:marRight w:val="0"/>
      <w:marTop w:val="0"/>
      <w:marBottom w:val="0"/>
      <w:divBdr>
        <w:top w:val="none" w:sz="0" w:space="0" w:color="auto"/>
        <w:left w:val="none" w:sz="0" w:space="0" w:color="auto"/>
        <w:bottom w:val="none" w:sz="0" w:space="0" w:color="auto"/>
        <w:right w:val="none" w:sz="0" w:space="0" w:color="auto"/>
      </w:divBdr>
      <w:divsChild>
        <w:div w:id="1107971587">
          <w:marLeft w:val="0"/>
          <w:marRight w:val="0"/>
          <w:marTop w:val="0"/>
          <w:marBottom w:val="0"/>
          <w:divBdr>
            <w:top w:val="none" w:sz="0" w:space="0" w:color="auto"/>
            <w:left w:val="none" w:sz="0" w:space="0" w:color="auto"/>
            <w:bottom w:val="none" w:sz="0" w:space="0" w:color="auto"/>
            <w:right w:val="none" w:sz="0" w:space="0" w:color="auto"/>
          </w:divBdr>
          <w:divsChild>
            <w:div w:id="91321387">
              <w:marLeft w:val="0"/>
              <w:marRight w:val="0"/>
              <w:marTop w:val="0"/>
              <w:marBottom w:val="0"/>
              <w:divBdr>
                <w:top w:val="none" w:sz="0" w:space="0" w:color="auto"/>
                <w:left w:val="none" w:sz="0" w:space="0" w:color="auto"/>
                <w:bottom w:val="none" w:sz="0" w:space="0" w:color="auto"/>
                <w:right w:val="none" w:sz="0" w:space="0" w:color="auto"/>
              </w:divBdr>
            </w:div>
          </w:divsChild>
        </w:div>
        <w:div w:id="1656252213">
          <w:marLeft w:val="0"/>
          <w:marRight w:val="0"/>
          <w:marTop w:val="0"/>
          <w:marBottom w:val="0"/>
          <w:divBdr>
            <w:top w:val="none" w:sz="0" w:space="0" w:color="auto"/>
            <w:left w:val="none" w:sz="0" w:space="0" w:color="auto"/>
            <w:bottom w:val="none" w:sz="0" w:space="0" w:color="auto"/>
            <w:right w:val="none" w:sz="0" w:space="0" w:color="auto"/>
          </w:divBdr>
          <w:divsChild>
            <w:div w:id="1794327953">
              <w:marLeft w:val="0"/>
              <w:marRight w:val="0"/>
              <w:marTop w:val="0"/>
              <w:marBottom w:val="0"/>
              <w:divBdr>
                <w:top w:val="none" w:sz="0" w:space="0" w:color="auto"/>
                <w:left w:val="none" w:sz="0" w:space="0" w:color="auto"/>
                <w:bottom w:val="none" w:sz="0" w:space="0" w:color="auto"/>
                <w:right w:val="none" w:sz="0" w:space="0" w:color="auto"/>
              </w:divBdr>
            </w:div>
          </w:divsChild>
        </w:div>
        <w:div w:id="945700266">
          <w:marLeft w:val="0"/>
          <w:marRight w:val="0"/>
          <w:marTop w:val="0"/>
          <w:marBottom w:val="0"/>
          <w:divBdr>
            <w:top w:val="none" w:sz="0" w:space="0" w:color="auto"/>
            <w:left w:val="none" w:sz="0" w:space="0" w:color="auto"/>
            <w:bottom w:val="none" w:sz="0" w:space="0" w:color="auto"/>
            <w:right w:val="none" w:sz="0" w:space="0" w:color="auto"/>
          </w:divBdr>
          <w:divsChild>
            <w:div w:id="1889106500">
              <w:marLeft w:val="0"/>
              <w:marRight w:val="0"/>
              <w:marTop w:val="0"/>
              <w:marBottom w:val="0"/>
              <w:divBdr>
                <w:top w:val="none" w:sz="0" w:space="0" w:color="auto"/>
                <w:left w:val="none" w:sz="0" w:space="0" w:color="auto"/>
                <w:bottom w:val="none" w:sz="0" w:space="0" w:color="auto"/>
                <w:right w:val="none" w:sz="0" w:space="0" w:color="auto"/>
              </w:divBdr>
            </w:div>
          </w:divsChild>
        </w:div>
        <w:div w:id="1385911579">
          <w:marLeft w:val="0"/>
          <w:marRight w:val="0"/>
          <w:marTop w:val="0"/>
          <w:marBottom w:val="0"/>
          <w:divBdr>
            <w:top w:val="none" w:sz="0" w:space="0" w:color="auto"/>
            <w:left w:val="none" w:sz="0" w:space="0" w:color="auto"/>
            <w:bottom w:val="none" w:sz="0" w:space="0" w:color="auto"/>
            <w:right w:val="none" w:sz="0" w:space="0" w:color="auto"/>
          </w:divBdr>
          <w:divsChild>
            <w:div w:id="1066955493">
              <w:marLeft w:val="0"/>
              <w:marRight w:val="0"/>
              <w:marTop w:val="0"/>
              <w:marBottom w:val="0"/>
              <w:divBdr>
                <w:top w:val="none" w:sz="0" w:space="0" w:color="auto"/>
                <w:left w:val="none" w:sz="0" w:space="0" w:color="auto"/>
                <w:bottom w:val="none" w:sz="0" w:space="0" w:color="auto"/>
                <w:right w:val="none" w:sz="0" w:space="0" w:color="auto"/>
              </w:divBdr>
            </w:div>
          </w:divsChild>
        </w:div>
        <w:div w:id="2008627194">
          <w:marLeft w:val="0"/>
          <w:marRight w:val="0"/>
          <w:marTop w:val="0"/>
          <w:marBottom w:val="0"/>
          <w:divBdr>
            <w:top w:val="none" w:sz="0" w:space="0" w:color="auto"/>
            <w:left w:val="none" w:sz="0" w:space="0" w:color="auto"/>
            <w:bottom w:val="none" w:sz="0" w:space="0" w:color="auto"/>
            <w:right w:val="none" w:sz="0" w:space="0" w:color="auto"/>
          </w:divBdr>
          <w:divsChild>
            <w:div w:id="113450102">
              <w:marLeft w:val="0"/>
              <w:marRight w:val="0"/>
              <w:marTop w:val="0"/>
              <w:marBottom w:val="0"/>
              <w:divBdr>
                <w:top w:val="none" w:sz="0" w:space="0" w:color="auto"/>
                <w:left w:val="none" w:sz="0" w:space="0" w:color="auto"/>
                <w:bottom w:val="none" w:sz="0" w:space="0" w:color="auto"/>
                <w:right w:val="none" w:sz="0" w:space="0" w:color="auto"/>
              </w:divBdr>
            </w:div>
          </w:divsChild>
        </w:div>
        <w:div w:id="106580753">
          <w:marLeft w:val="0"/>
          <w:marRight w:val="0"/>
          <w:marTop w:val="0"/>
          <w:marBottom w:val="0"/>
          <w:divBdr>
            <w:top w:val="none" w:sz="0" w:space="0" w:color="auto"/>
            <w:left w:val="none" w:sz="0" w:space="0" w:color="auto"/>
            <w:bottom w:val="none" w:sz="0" w:space="0" w:color="auto"/>
            <w:right w:val="none" w:sz="0" w:space="0" w:color="auto"/>
          </w:divBdr>
          <w:divsChild>
            <w:div w:id="525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tory.com/topics/black-history/voting-rights-ac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McHale, Susan</dc:creator>
  <cp:keywords/>
  <dc:description/>
  <cp:lastModifiedBy>McHale, Susan</cp:lastModifiedBy>
  <cp:revision>1</cp:revision>
  <dcterms:created xsi:type="dcterms:W3CDTF">2018-09-05T19:11:00Z</dcterms:created>
  <dcterms:modified xsi:type="dcterms:W3CDTF">2018-09-05T20:11:00Z</dcterms:modified>
</cp:coreProperties>
</file>