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2F3EE5" w14:textId="77777777" w:rsidR="00EC1C20" w:rsidRDefault="007A338E">
      <w:pPr>
        <w:widowControl w:val="0"/>
        <w:spacing w:after="0" w:line="240" w:lineRule="auto"/>
        <w:rPr>
          <w:b/>
          <w:sz w:val="32"/>
          <w:szCs w:val="32"/>
        </w:rPr>
      </w:pPr>
      <w:r>
        <w:rPr>
          <w:b/>
          <w:sz w:val="32"/>
          <w:szCs w:val="32"/>
        </w:rPr>
        <w:t>WRITING STYLE CARD MATCHING</w:t>
      </w:r>
    </w:p>
    <w:p w14:paraId="548CD0CD" w14:textId="77777777" w:rsidR="00EC1C20" w:rsidRDefault="00EC1C20">
      <w:pPr>
        <w:spacing w:after="0"/>
        <w:rPr>
          <w:rFonts w:ascii="Arial" w:eastAsia="Arial" w:hAnsi="Arial" w:cs="Arial"/>
          <w:sz w:val="22"/>
          <w:szCs w:val="22"/>
        </w:rPr>
      </w:pPr>
    </w:p>
    <w:tbl>
      <w:tblPr>
        <w:tblStyle w:val="aa"/>
        <w:tblW w:w="14310" w:type="dxa"/>
        <w:tblInd w:w="-58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600" w:firstRow="0" w:lastRow="0" w:firstColumn="0" w:lastColumn="0" w:noHBand="1" w:noVBand="1"/>
      </w:tblPr>
      <w:tblGrid>
        <w:gridCol w:w="4770"/>
        <w:gridCol w:w="4770"/>
        <w:gridCol w:w="4770"/>
      </w:tblGrid>
      <w:tr w:rsidR="00EC1C20" w14:paraId="21CFC2AF" w14:textId="77777777" w:rsidTr="00CE7748">
        <w:trPr>
          <w:cantSplit/>
          <w:trHeight w:val="1491"/>
        </w:trPr>
        <w:tc>
          <w:tcPr>
            <w:tcW w:w="4770" w:type="dxa"/>
            <w:shd w:val="clear" w:color="auto" w:fill="auto"/>
            <w:tcMar>
              <w:top w:w="100" w:type="dxa"/>
              <w:left w:w="100" w:type="dxa"/>
              <w:bottom w:w="100" w:type="dxa"/>
              <w:right w:w="100" w:type="dxa"/>
            </w:tcMar>
            <w:vAlign w:val="center"/>
          </w:tcPr>
          <w:p w14:paraId="39331ABF" w14:textId="77777777" w:rsidR="00EC1C20" w:rsidRDefault="007A338E">
            <w:pPr>
              <w:widowControl w:val="0"/>
              <w:spacing w:after="0" w:line="240" w:lineRule="auto"/>
              <w:jc w:val="center"/>
              <w:rPr>
                <w:b/>
                <w:color w:val="910D28"/>
              </w:rPr>
            </w:pPr>
            <w:r>
              <w:rPr>
                <w:b/>
                <w:color w:val="910D28"/>
              </w:rPr>
              <w:t>Argumentative Writing</w:t>
            </w:r>
          </w:p>
        </w:tc>
        <w:tc>
          <w:tcPr>
            <w:tcW w:w="4770" w:type="dxa"/>
            <w:shd w:val="clear" w:color="auto" w:fill="auto"/>
            <w:tcMar>
              <w:top w:w="100" w:type="dxa"/>
              <w:left w:w="100" w:type="dxa"/>
              <w:bottom w:w="100" w:type="dxa"/>
              <w:right w:w="100" w:type="dxa"/>
            </w:tcMar>
            <w:vAlign w:val="center"/>
          </w:tcPr>
          <w:p w14:paraId="7895D5CB" w14:textId="77777777" w:rsidR="00EC1C20" w:rsidRDefault="007A338E">
            <w:pPr>
              <w:widowControl w:val="0"/>
              <w:spacing w:after="0" w:line="240" w:lineRule="auto"/>
              <w:jc w:val="center"/>
              <w:rPr>
                <w:b/>
                <w:color w:val="910D28"/>
              </w:rPr>
            </w:pPr>
            <w:r>
              <w:rPr>
                <w:b/>
                <w:color w:val="910D28"/>
              </w:rPr>
              <w:t>Research Writing</w:t>
            </w:r>
          </w:p>
        </w:tc>
        <w:tc>
          <w:tcPr>
            <w:tcW w:w="4770" w:type="dxa"/>
            <w:shd w:val="clear" w:color="auto" w:fill="auto"/>
            <w:tcMar>
              <w:top w:w="100" w:type="dxa"/>
              <w:left w:w="100" w:type="dxa"/>
              <w:bottom w:w="100" w:type="dxa"/>
              <w:right w:w="100" w:type="dxa"/>
            </w:tcMar>
            <w:vAlign w:val="center"/>
          </w:tcPr>
          <w:p w14:paraId="2737C6BB" w14:textId="77777777" w:rsidR="00EC1C20" w:rsidRDefault="007A338E">
            <w:pPr>
              <w:widowControl w:val="0"/>
              <w:spacing w:after="0" w:line="240" w:lineRule="auto"/>
              <w:jc w:val="center"/>
              <w:rPr>
                <w:b/>
                <w:color w:val="910D28"/>
              </w:rPr>
            </w:pPr>
            <w:r>
              <w:rPr>
                <w:b/>
                <w:color w:val="910D28"/>
              </w:rPr>
              <w:t>Informative Writing</w:t>
            </w:r>
          </w:p>
        </w:tc>
      </w:tr>
      <w:tr w:rsidR="00EC1C20" w14:paraId="07CA29C7" w14:textId="77777777" w:rsidTr="00CE7748">
        <w:trPr>
          <w:cantSplit/>
          <w:trHeight w:val="1761"/>
        </w:trPr>
        <w:tc>
          <w:tcPr>
            <w:tcW w:w="4770" w:type="dxa"/>
            <w:shd w:val="clear" w:color="auto" w:fill="auto"/>
            <w:tcMar>
              <w:top w:w="100" w:type="dxa"/>
              <w:left w:w="100" w:type="dxa"/>
              <w:bottom w:w="100" w:type="dxa"/>
              <w:right w:w="100" w:type="dxa"/>
            </w:tcMar>
            <w:vAlign w:val="center"/>
          </w:tcPr>
          <w:p w14:paraId="3A6C89BE" w14:textId="77777777" w:rsidR="00EC1C20" w:rsidRDefault="007A338E">
            <w:pPr>
              <w:widowControl w:val="0"/>
              <w:spacing w:after="0" w:line="240" w:lineRule="auto"/>
              <w:jc w:val="center"/>
              <w:rPr>
                <w:b/>
              </w:rPr>
            </w:pPr>
            <w:r>
              <w:rPr>
                <w:b/>
              </w:rPr>
              <w:t>Definition</w:t>
            </w:r>
          </w:p>
          <w:p w14:paraId="70ED1384" w14:textId="77777777" w:rsidR="00EC1C20" w:rsidRDefault="007A338E">
            <w:pPr>
              <w:widowControl w:val="0"/>
              <w:spacing w:after="0" w:line="240" w:lineRule="auto"/>
            </w:pPr>
            <w:r>
              <w:t>The writer takes a position on an issue or topic and collects, generates, and evaluates evidence to defend their position.</w:t>
            </w:r>
          </w:p>
        </w:tc>
        <w:tc>
          <w:tcPr>
            <w:tcW w:w="4770" w:type="dxa"/>
            <w:shd w:val="clear" w:color="auto" w:fill="auto"/>
            <w:tcMar>
              <w:top w:w="100" w:type="dxa"/>
              <w:left w:w="100" w:type="dxa"/>
              <w:bottom w:w="100" w:type="dxa"/>
              <w:right w:w="100" w:type="dxa"/>
            </w:tcMar>
            <w:vAlign w:val="center"/>
          </w:tcPr>
          <w:p w14:paraId="52129275" w14:textId="77777777" w:rsidR="00EC1C20" w:rsidRDefault="007A338E">
            <w:pPr>
              <w:widowControl w:val="0"/>
              <w:spacing w:after="0" w:line="240" w:lineRule="auto"/>
              <w:jc w:val="center"/>
            </w:pPr>
            <w:r>
              <w:rPr>
                <w:b/>
              </w:rPr>
              <w:t>Definition</w:t>
            </w:r>
          </w:p>
          <w:p w14:paraId="2D8974BD" w14:textId="77777777" w:rsidR="00EC1C20" w:rsidRDefault="007A338E">
            <w:pPr>
              <w:widowControl w:val="0"/>
              <w:spacing w:after="0" w:line="240" w:lineRule="auto"/>
            </w:pPr>
            <w:r>
              <w:t>The writer answers a specific question using evidence on which their answer is based.</w:t>
            </w:r>
          </w:p>
          <w:p w14:paraId="0D502F29" w14:textId="77777777" w:rsidR="00EC1C20" w:rsidRDefault="00EC1C20">
            <w:pPr>
              <w:widowControl w:val="0"/>
              <w:spacing w:after="0" w:line="240" w:lineRule="auto"/>
            </w:pPr>
          </w:p>
        </w:tc>
        <w:tc>
          <w:tcPr>
            <w:tcW w:w="4770" w:type="dxa"/>
            <w:shd w:val="clear" w:color="auto" w:fill="auto"/>
            <w:tcMar>
              <w:top w:w="100" w:type="dxa"/>
              <w:left w:w="100" w:type="dxa"/>
              <w:bottom w:w="100" w:type="dxa"/>
              <w:right w:w="100" w:type="dxa"/>
            </w:tcMar>
            <w:vAlign w:val="center"/>
          </w:tcPr>
          <w:p w14:paraId="582DE9B8" w14:textId="77777777" w:rsidR="00EC1C20" w:rsidRDefault="00EC1C20">
            <w:pPr>
              <w:widowControl w:val="0"/>
              <w:spacing w:after="0" w:line="240" w:lineRule="auto"/>
              <w:jc w:val="center"/>
              <w:rPr>
                <w:b/>
              </w:rPr>
            </w:pPr>
          </w:p>
          <w:p w14:paraId="746C3007" w14:textId="77777777" w:rsidR="00EC1C20" w:rsidRDefault="007A338E">
            <w:pPr>
              <w:widowControl w:val="0"/>
              <w:spacing w:after="0" w:line="240" w:lineRule="auto"/>
              <w:jc w:val="center"/>
            </w:pPr>
            <w:r>
              <w:rPr>
                <w:b/>
              </w:rPr>
              <w:t>Definition</w:t>
            </w:r>
          </w:p>
          <w:p w14:paraId="757B63DE" w14:textId="77777777" w:rsidR="00EC1C20" w:rsidRDefault="007A338E">
            <w:pPr>
              <w:widowControl w:val="0"/>
              <w:spacing w:after="0" w:line="240" w:lineRule="auto"/>
            </w:pPr>
            <w:r>
              <w:t>The writer educates the reader by sharing information about a certain topic.</w:t>
            </w:r>
          </w:p>
          <w:p w14:paraId="19B32813" w14:textId="77777777" w:rsidR="00EC1C20" w:rsidRDefault="00EC1C20">
            <w:pPr>
              <w:widowControl w:val="0"/>
              <w:spacing w:after="0" w:line="240" w:lineRule="auto"/>
            </w:pPr>
          </w:p>
          <w:p w14:paraId="09150E16" w14:textId="77777777" w:rsidR="00EC1C20" w:rsidRDefault="00EC1C20">
            <w:pPr>
              <w:widowControl w:val="0"/>
              <w:spacing w:after="0" w:line="240" w:lineRule="auto"/>
            </w:pPr>
          </w:p>
        </w:tc>
      </w:tr>
      <w:tr w:rsidR="00EC1C20" w14:paraId="6E231116" w14:textId="77777777" w:rsidTr="00CE7748">
        <w:trPr>
          <w:cantSplit/>
          <w:trHeight w:val="2022"/>
        </w:trPr>
        <w:tc>
          <w:tcPr>
            <w:tcW w:w="4770" w:type="dxa"/>
            <w:shd w:val="clear" w:color="auto" w:fill="auto"/>
            <w:tcMar>
              <w:top w:w="100" w:type="dxa"/>
              <w:left w:w="100" w:type="dxa"/>
              <w:bottom w:w="100" w:type="dxa"/>
              <w:right w:w="100" w:type="dxa"/>
            </w:tcMar>
            <w:vAlign w:val="center"/>
          </w:tcPr>
          <w:p w14:paraId="71B16B37" w14:textId="77777777" w:rsidR="00EC1C20" w:rsidRDefault="007A338E">
            <w:pPr>
              <w:widowControl w:val="0"/>
              <w:spacing w:after="0" w:line="240" w:lineRule="auto"/>
              <w:jc w:val="center"/>
            </w:pPr>
            <w:r>
              <w:rPr>
                <w:b/>
              </w:rPr>
              <w:t>Question</w:t>
            </w:r>
          </w:p>
          <w:p w14:paraId="3E6B1876" w14:textId="77777777" w:rsidR="00EC1C20" w:rsidRDefault="007A338E">
            <w:pPr>
              <w:widowControl w:val="0"/>
              <w:spacing w:after="0" w:line="240" w:lineRule="auto"/>
            </w:pPr>
            <w:r>
              <w:t>Should animal testing be allowed in the name of science?</w:t>
            </w:r>
          </w:p>
          <w:p w14:paraId="2D964DE5" w14:textId="77777777" w:rsidR="00EC1C20" w:rsidRDefault="00EC1C20">
            <w:pPr>
              <w:widowControl w:val="0"/>
              <w:spacing w:after="0" w:line="240" w:lineRule="auto"/>
            </w:pPr>
          </w:p>
        </w:tc>
        <w:tc>
          <w:tcPr>
            <w:tcW w:w="4770" w:type="dxa"/>
            <w:shd w:val="clear" w:color="auto" w:fill="auto"/>
            <w:tcMar>
              <w:top w:w="100" w:type="dxa"/>
              <w:left w:w="100" w:type="dxa"/>
              <w:bottom w:w="100" w:type="dxa"/>
              <w:right w:w="100" w:type="dxa"/>
            </w:tcMar>
            <w:vAlign w:val="center"/>
          </w:tcPr>
          <w:p w14:paraId="7A371AA9" w14:textId="77777777" w:rsidR="00EC1C20" w:rsidRDefault="007A338E">
            <w:pPr>
              <w:widowControl w:val="0"/>
              <w:spacing w:after="0" w:line="240" w:lineRule="auto"/>
              <w:jc w:val="center"/>
            </w:pPr>
            <w:r>
              <w:rPr>
                <w:b/>
              </w:rPr>
              <w:t>Question</w:t>
            </w:r>
          </w:p>
          <w:p w14:paraId="2F06C8BF" w14:textId="77777777" w:rsidR="00EC1C20" w:rsidRDefault="007A338E">
            <w:pPr>
              <w:widowControl w:val="0"/>
              <w:spacing w:after="0" w:line="240" w:lineRule="auto"/>
            </w:pPr>
            <w:r>
              <w:t>How does divorce influence children’s social development?</w:t>
            </w:r>
          </w:p>
          <w:p w14:paraId="32500AE6" w14:textId="77777777" w:rsidR="00EC1C20" w:rsidRDefault="00EC1C20">
            <w:pPr>
              <w:widowControl w:val="0"/>
              <w:spacing w:after="0" w:line="240" w:lineRule="auto"/>
            </w:pPr>
          </w:p>
        </w:tc>
        <w:tc>
          <w:tcPr>
            <w:tcW w:w="4770" w:type="dxa"/>
            <w:shd w:val="clear" w:color="auto" w:fill="auto"/>
            <w:tcMar>
              <w:top w:w="100" w:type="dxa"/>
              <w:left w:w="100" w:type="dxa"/>
              <w:bottom w:w="100" w:type="dxa"/>
              <w:right w:w="100" w:type="dxa"/>
            </w:tcMar>
            <w:vAlign w:val="center"/>
          </w:tcPr>
          <w:p w14:paraId="43BEE648" w14:textId="77777777" w:rsidR="00EC1C20" w:rsidRDefault="007A338E">
            <w:pPr>
              <w:widowControl w:val="0"/>
              <w:spacing w:after="0" w:line="240" w:lineRule="auto"/>
              <w:jc w:val="center"/>
            </w:pPr>
            <w:r>
              <w:rPr>
                <w:b/>
              </w:rPr>
              <w:t>Question</w:t>
            </w:r>
          </w:p>
          <w:p w14:paraId="0D953200" w14:textId="77777777" w:rsidR="00EC1C20" w:rsidRDefault="007A338E">
            <w:pPr>
              <w:widowControl w:val="0"/>
              <w:spacing w:after="0" w:line="240" w:lineRule="auto"/>
            </w:pPr>
            <w:r>
              <w:t>What was Brown v. Board of Education? What events led to it and what was its impact?</w:t>
            </w:r>
          </w:p>
          <w:p w14:paraId="2FABD54F" w14:textId="77777777" w:rsidR="00EC1C20" w:rsidRDefault="00EC1C20">
            <w:pPr>
              <w:widowControl w:val="0"/>
              <w:spacing w:after="0" w:line="240" w:lineRule="auto"/>
            </w:pPr>
          </w:p>
        </w:tc>
      </w:tr>
      <w:tr w:rsidR="00EC1C20" w14:paraId="12EF0A36" w14:textId="77777777">
        <w:trPr>
          <w:cantSplit/>
          <w:trHeight w:val="2073"/>
        </w:trPr>
        <w:tc>
          <w:tcPr>
            <w:tcW w:w="4770" w:type="dxa"/>
            <w:tcMar>
              <w:top w:w="100" w:type="dxa"/>
              <w:left w:w="100" w:type="dxa"/>
              <w:bottom w:w="100" w:type="dxa"/>
              <w:right w:w="100" w:type="dxa"/>
            </w:tcMar>
            <w:vAlign w:val="center"/>
          </w:tcPr>
          <w:p w14:paraId="52536D94" w14:textId="77777777" w:rsidR="00EC1C20" w:rsidRDefault="00EC1C20">
            <w:pPr>
              <w:spacing w:after="0" w:line="240" w:lineRule="auto"/>
              <w:rPr>
                <w:b/>
              </w:rPr>
            </w:pPr>
          </w:p>
          <w:p w14:paraId="659FB8E1" w14:textId="77777777" w:rsidR="00EC1C20" w:rsidRDefault="007A338E">
            <w:pPr>
              <w:spacing w:after="0" w:line="240" w:lineRule="auto"/>
              <w:jc w:val="center"/>
              <w:rPr>
                <w:b/>
              </w:rPr>
            </w:pPr>
            <w:r>
              <w:rPr>
                <w:b/>
              </w:rPr>
              <w:t>Thesis Statement</w:t>
            </w:r>
          </w:p>
          <w:p w14:paraId="3B848214" w14:textId="32D5769E" w:rsidR="00EC1C20" w:rsidRDefault="007A338E">
            <w:pPr>
              <w:spacing w:after="0" w:line="240" w:lineRule="auto"/>
            </w:pPr>
            <w:r>
              <w:t xml:space="preserve">We should eliminate the use of plastic bags </w:t>
            </w:r>
            <w:r w:rsidR="002B2D4A">
              <w:t xml:space="preserve">because they </w:t>
            </w:r>
            <w:r>
              <w:t xml:space="preserve">are not always recycled, are harmful to the environment, and there are better alternatives. </w:t>
            </w:r>
          </w:p>
          <w:p w14:paraId="657F1A25" w14:textId="77777777" w:rsidR="00EC1C20" w:rsidRDefault="00EC1C20">
            <w:pPr>
              <w:spacing w:after="0" w:line="240" w:lineRule="auto"/>
            </w:pPr>
          </w:p>
        </w:tc>
        <w:tc>
          <w:tcPr>
            <w:tcW w:w="4770" w:type="dxa"/>
            <w:shd w:val="clear" w:color="auto" w:fill="auto"/>
            <w:tcMar>
              <w:top w:w="100" w:type="dxa"/>
              <w:left w:w="100" w:type="dxa"/>
              <w:bottom w:w="100" w:type="dxa"/>
              <w:right w:w="100" w:type="dxa"/>
            </w:tcMar>
            <w:vAlign w:val="center"/>
          </w:tcPr>
          <w:p w14:paraId="581AF853" w14:textId="77777777" w:rsidR="00EC1C20" w:rsidRDefault="007A338E">
            <w:pPr>
              <w:widowControl w:val="0"/>
              <w:spacing w:after="0" w:line="240" w:lineRule="auto"/>
              <w:jc w:val="center"/>
              <w:rPr>
                <w:b/>
              </w:rPr>
            </w:pPr>
            <w:r>
              <w:rPr>
                <w:b/>
              </w:rPr>
              <w:t>Thesis Statement</w:t>
            </w:r>
          </w:p>
          <w:p w14:paraId="1DB55DCC" w14:textId="77777777" w:rsidR="00EC1C20" w:rsidRDefault="007A338E">
            <w:pPr>
              <w:widowControl w:val="0"/>
              <w:spacing w:after="0" w:line="240" w:lineRule="auto"/>
            </w:pPr>
            <w:r>
              <w:t>This study explores the impact of professional development,  instructional coaching, and evaluations for emergency certified teachers in Oklahoma.</w:t>
            </w:r>
          </w:p>
        </w:tc>
        <w:tc>
          <w:tcPr>
            <w:tcW w:w="4770" w:type="dxa"/>
            <w:shd w:val="clear" w:color="auto" w:fill="auto"/>
            <w:tcMar>
              <w:top w:w="100" w:type="dxa"/>
              <w:left w:w="100" w:type="dxa"/>
              <w:bottom w:w="100" w:type="dxa"/>
              <w:right w:w="100" w:type="dxa"/>
            </w:tcMar>
            <w:vAlign w:val="center"/>
          </w:tcPr>
          <w:p w14:paraId="51DC2630" w14:textId="77777777" w:rsidR="00EC1C20" w:rsidRDefault="007A338E">
            <w:pPr>
              <w:widowControl w:val="0"/>
              <w:spacing w:after="0" w:line="240" w:lineRule="auto"/>
              <w:jc w:val="center"/>
              <w:rPr>
                <w:b/>
              </w:rPr>
            </w:pPr>
            <w:r>
              <w:rPr>
                <w:b/>
              </w:rPr>
              <w:t>Thesis Statement</w:t>
            </w:r>
          </w:p>
          <w:p w14:paraId="05B1D96E" w14:textId="77777777" w:rsidR="00EC1C20" w:rsidRDefault="007A338E">
            <w:pPr>
              <w:widowControl w:val="0"/>
              <w:spacing w:after="0" w:line="240" w:lineRule="auto"/>
            </w:pPr>
            <w:r>
              <w:t>Oklahoma City has grown significantly in the last 10 years, and it has impacted the economy through tourism, employment, and the promotion of new businesses.</w:t>
            </w:r>
          </w:p>
        </w:tc>
      </w:tr>
      <w:tr w:rsidR="00EC1C20" w14:paraId="52CBE37B" w14:textId="77777777" w:rsidTr="00806291">
        <w:trPr>
          <w:cantSplit/>
        </w:trPr>
        <w:tc>
          <w:tcPr>
            <w:tcW w:w="4770" w:type="dxa"/>
            <w:shd w:val="clear" w:color="auto" w:fill="auto"/>
            <w:tcMar>
              <w:top w:w="0" w:type="dxa"/>
              <w:left w:w="100" w:type="dxa"/>
              <w:bottom w:w="0" w:type="dxa"/>
              <w:right w:w="100" w:type="dxa"/>
            </w:tcMar>
          </w:tcPr>
          <w:p w14:paraId="54839264" w14:textId="2ABC25C8" w:rsidR="00EC1C20" w:rsidRDefault="007A338E" w:rsidP="00CE7748">
            <w:pPr>
              <w:widowControl w:val="0"/>
              <w:spacing w:after="0" w:line="240" w:lineRule="auto"/>
            </w:pPr>
            <w:r>
              <w:lastRenderedPageBreak/>
              <w:t xml:space="preserve">Vaping is harmful, and it should be illegal for adolescents. The CDC reports that 99% of the e-cigarettes sold contain nicotine. Using nicotine in adolescence can harm parts of the brain that control attention, learning, mood, and impulse control.  In addition to including nicotine, e-cigarettes contain volatile organic compounds, cancer-causing chemicals, and heavy metals.  These chemicals can be lethal. There is nothing beneficial from vaping. </w:t>
            </w:r>
          </w:p>
        </w:tc>
        <w:tc>
          <w:tcPr>
            <w:tcW w:w="4770" w:type="dxa"/>
            <w:shd w:val="clear" w:color="auto" w:fill="auto"/>
            <w:tcMar>
              <w:top w:w="100" w:type="dxa"/>
              <w:left w:w="100" w:type="dxa"/>
              <w:bottom w:w="100" w:type="dxa"/>
              <w:right w:w="100" w:type="dxa"/>
            </w:tcMar>
          </w:tcPr>
          <w:p w14:paraId="04A6854B" w14:textId="2B670874" w:rsidR="00EC1C20" w:rsidRDefault="007A338E" w:rsidP="00CE7748">
            <w:pPr>
              <w:widowControl w:val="0"/>
              <w:spacing w:after="0" w:line="240" w:lineRule="auto"/>
            </w:pPr>
            <w:r>
              <w:t>The ACT reports that “high school graduates who enter college with credits from dual enrollment are more likely to be successful in college” (5). Moreover, the ACT has determined that dual enrollment programs are “designed to expose high school students to the real rigors and expectations of college” (16). Students can earn enough college credits to  place them in their second year by the time they graduate from high school.</w:t>
            </w:r>
          </w:p>
        </w:tc>
        <w:tc>
          <w:tcPr>
            <w:tcW w:w="4770" w:type="dxa"/>
            <w:shd w:val="clear" w:color="auto" w:fill="auto"/>
            <w:tcMar>
              <w:top w:w="100" w:type="dxa"/>
              <w:left w:w="100" w:type="dxa"/>
              <w:bottom w:w="100" w:type="dxa"/>
              <w:right w:w="100" w:type="dxa"/>
            </w:tcMar>
          </w:tcPr>
          <w:p w14:paraId="03544446" w14:textId="1A5DAB6D" w:rsidR="00EC1C20" w:rsidRDefault="007A338E" w:rsidP="00CE7748">
            <w:pPr>
              <w:widowControl w:val="0"/>
              <w:spacing w:after="0" w:line="240" w:lineRule="auto"/>
            </w:pPr>
            <w:r>
              <w:t xml:space="preserve">Public school libraries are an “equal opportunity lender.” The school library ensures that all members of the school community have access to a wide variety of resources. They are learner-oriented centers that support the school curriculum. The school library supports teachers and provides an additional learning space for students. School libraries have evolved since the late 1800s when few schools could afford </w:t>
            </w:r>
            <w:r w:rsidR="002B2D4A">
              <w:t>them</w:t>
            </w:r>
            <w:r>
              <w:t>.</w:t>
            </w:r>
          </w:p>
        </w:tc>
      </w:tr>
      <w:tr w:rsidR="00EC1C20" w14:paraId="411CF7B5" w14:textId="77777777">
        <w:trPr>
          <w:cantSplit/>
          <w:trHeight w:val="4455"/>
        </w:trPr>
        <w:tc>
          <w:tcPr>
            <w:tcW w:w="4770" w:type="dxa"/>
            <w:shd w:val="clear" w:color="auto" w:fill="auto"/>
            <w:tcMar>
              <w:top w:w="100" w:type="dxa"/>
              <w:left w:w="100" w:type="dxa"/>
              <w:bottom w:w="100" w:type="dxa"/>
              <w:right w:w="100" w:type="dxa"/>
            </w:tcMar>
          </w:tcPr>
          <w:p w14:paraId="72E2CC69" w14:textId="3399B421" w:rsidR="00EC1C20" w:rsidRDefault="007A338E" w:rsidP="0053785A">
            <w:pPr>
              <w:widowControl w:val="0"/>
              <w:spacing w:after="0" w:line="240" w:lineRule="auto"/>
            </w:pPr>
            <w:r>
              <w:t>Consumers have come to expect that cell phone purchases include chargers and headphones. And although they should, in fact, they do not. The decision to omit these important ancillary items is a serious problem. The two major cell phone providers – Apple and Samsung– have both determined that in an effort to reduce their “carbon footprint,” they will no longer provide these accessories with new products.  Removing accessories enables Apple to use fewer raw materials and thinner packaging in support of their becoming “100% carbon neutral” by 2030. Like Apple, Samsung has removed its charger plug and headphones in an effort</w:t>
            </w:r>
            <w:r w:rsidR="00CE7748">
              <w:t xml:space="preserve"> </w:t>
            </w:r>
            <w:r>
              <w:t xml:space="preserve">to promote “better recycling habits” among its customers. This decision saves the manufacturing companies millions of dollars, but they </w:t>
            </w:r>
            <w:r w:rsidR="002B2D4A">
              <w:t>do not</w:t>
            </w:r>
            <w:r>
              <w:t xml:space="preserve"> pass the savings along to customers who may have to purchase these items separately. </w:t>
            </w:r>
          </w:p>
        </w:tc>
        <w:tc>
          <w:tcPr>
            <w:tcW w:w="4770" w:type="dxa"/>
            <w:shd w:val="clear" w:color="auto" w:fill="auto"/>
            <w:tcMar>
              <w:top w:w="100" w:type="dxa"/>
              <w:left w:w="100" w:type="dxa"/>
              <w:bottom w:w="100" w:type="dxa"/>
              <w:right w:w="100" w:type="dxa"/>
            </w:tcMar>
          </w:tcPr>
          <w:p w14:paraId="01C8CA1D" w14:textId="77777777" w:rsidR="00EC1C20" w:rsidRDefault="007A338E" w:rsidP="0053785A">
            <w:pPr>
              <w:widowControl w:val="0"/>
              <w:spacing w:after="0" w:line="240" w:lineRule="auto"/>
            </w:pPr>
            <w:r>
              <w:t>Affirmative Action is one of the best tools colleges and universities have to promote diversity. Students of color “remain underrepresented on college campuses” (Maxwell &amp; Garcia). In 2019, 50% of the high school graduates in Mississippi were black, but only 12.9% of students of color enrolled in the University of Mississippi. Prioritizing diversity remains a critical element. Affirmative action improves the chances of a student of color to receive “fair, comprehensive consideration.” Affirmative action is needed to continue to combat the effects of discrimination.</w:t>
            </w:r>
          </w:p>
          <w:p w14:paraId="0EFE78A7" w14:textId="77777777" w:rsidR="00EC1C20" w:rsidRDefault="00EC1C20" w:rsidP="0053785A">
            <w:pPr>
              <w:widowControl w:val="0"/>
              <w:spacing w:after="0" w:line="240" w:lineRule="auto"/>
            </w:pPr>
          </w:p>
        </w:tc>
        <w:tc>
          <w:tcPr>
            <w:tcW w:w="4770" w:type="dxa"/>
            <w:shd w:val="clear" w:color="auto" w:fill="auto"/>
            <w:tcMar>
              <w:top w:w="100" w:type="dxa"/>
              <w:left w:w="100" w:type="dxa"/>
              <w:bottom w:w="100" w:type="dxa"/>
              <w:right w:w="100" w:type="dxa"/>
            </w:tcMar>
          </w:tcPr>
          <w:p w14:paraId="53676866" w14:textId="77777777" w:rsidR="00EC1C20" w:rsidRDefault="007A338E" w:rsidP="0053785A">
            <w:pPr>
              <w:widowControl w:val="0"/>
              <w:spacing w:after="0" w:line="240" w:lineRule="auto"/>
            </w:pPr>
            <w:r>
              <w:t xml:space="preserve">The pizza, a food phenomenon, is now a global trend. It is not unreasonable to say that everyone loves a pizza.  The worldwide pizza market is expected to total $141 billion in sales during 2022, a 6.7% increase over 2021.  Why? There are several reasons that explain its popularity. Convenience is the primary reason that pizza is so popular.  It can be eaten as a meal or as a snack.  It doesn’t require any utensils to eat.  It can be picked up and devoured without anything to assist.  It is also comfort food.  Hot or cold, pizza has the power to please.  It can also be a balanced meal.  It can be customized to include vegetables, a variety of meats, cheeses, and the crust can be made of many different things.  And finally pizza is a great food for “get </w:t>
            </w:r>
            <w:proofErr w:type="spellStart"/>
            <w:r>
              <w:t>togethers</w:t>
            </w:r>
            <w:proofErr w:type="spellEnd"/>
            <w:r>
              <w:t xml:space="preserve">.” It is affordable and almost everyone loves it.  Pizza is an excellent social equalizer. </w:t>
            </w:r>
          </w:p>
        </w:tc>
      </w:tr>
      <w:tr w:rsidR="00EC1C20" w14:paraId="60C49F0A" w14:textId="77777777" w:rsidTr="0053785A">
        <w:trPr>
          <w:cantSplit/>
          <w:trHeight w:val="5586"/>
        </w:trPr>
        <w:tc>
          <w:tcPr>
            <w:tcW w:w="4770" w:type="dxa"/>
            <w:shd w:val="clear" w:color="auto" w:fill="auto"/>
            <w:tcMar>
              <w:top w:w="100" w:type="dxa"/>
              <w:left w:w="100" w:type="dxa"/>
              <w:bottom w:w="100" w:type="dxa"/>
              <w:right w:w="100" w:type="dxa"/>
            </w:tcMar>
          </w:tcPr>
          <w:p w14:paraId="0F57AEC0" w14:textId="5A301989" w:rsidR="00EC1C20" w:rsidRDefault="007A338E" w:rsidP="00CE7748">
            <w:pPr>
              <w:widowControl w:val="0"/>
              <w:spacing w:after="0" w:line="240" w:lineRule="auto"/>
            </w:pPr>
            <w:r>
              <w:lastRenderedPageBreak/>
              <w:t xml:space="preserve">Collegiate football coaches are paid more money each time they negotiate.  Coaches now make millions of dollars.  U. S. Representative Bill Pascrell has recently taken exception to the huge salaries paid coaches at LSU and USC. He has noted that both institutions are </w:t>
            </w:r>
            <w:r w:rsidR="002B2D4A">
              <w:t>tax-exempt but</w:t>
            </w:r>
            <w:r>
              <w:t xml:space="preserve"> will be paying their coaches in excess of $95 million dollars each. He notes that thousands of young students will soon be signing up to play football for these two institutions for free while the coaches are hustling universities for high salaries, extravagant homes, and bonuses for winning. He argues that these salaries do not further the educational missions of the universities.</w:t>
            </w:r>
          </w:p>
        </w:tc>
        <w:tc>
          <w:tcPr>
            <w:tcW w:w="4770" w:type="dxa"/>
            <w:shd w:val="clear" w:color="auto" w:fill="auto"/>
            <w:tcMar>
              <w:top w:w="100" w:type="dxa"/>
              <w:left w:w="100" w:type="dxa"/>
              <w:bottom w:w="100" w:type="dxa"/>
              <w:right w:w="100" w:type="dxa"/>
            </w:tcMar>
          </w:tcPr>
          <w:p w14:paraId="0A964803" w14:textId="1AC577FF" w:rsidR="00EC1C20" w:rsidRDefault="007A338E" w:rsidP="00CE7748">
            <w:pPr>
              <w:widowControl w:val="0"/>
              <w:spacing w:after="0" w:line="240" w:lineRule="auto"/>
            </w:pPr>
            <w:r>
              <w:t xml:space="preserve">Social media is a powerful tool for advertising.  Social media facilitates the sharing of ideas, thoughts, and information among users in ways that are unprecedented. People crave interaction and connection with other people. They want immediate results when they have problems with a product. Research shows that newspaper revenue has fallen 26% over the last year. People do not look to print media to advertise any longer.  Mistrust of traditional advertising has turned consumers to the internet, where they can compare and contrast without a lot of effort.  </w:t>
            </w:r>
            <w:proofErr w:type="gramStart"/>
            <w:r>
              <w:t>Because  social</w:t>
            </w:r>
            <w:proofErr w:type="gramEnd"/>
            <w:r>
              <w:t xml:space="preserve"> media happens in real time, consumers can go online and request help immediately.  This is a huge boon because businesses can deliver prompt customer service and address the needs of the audience, thus ensuring the integrity of the brand.  </w:t>
            </w:r>
          </w:p>
        </w:tc>
        <w:tc>
          <w:tcPr>
            <w:tcW w:w="4770" w:type="dxa"/>
            <w:shd w:val="clear" w:color="auto" w:fill="auto"/>
            <w:tcMar>
              <w:top w:w="100" w:type="dxa"/>
              <w:left w:w="100" w:type="dxa"/>
              <w:bottom w:w="100" w:type="dxa"/>
              <w:right w:w="100" w:type="dxa"/>
            </w:tcMar>
          </w:tcPr>
          <w:p w14:paraId="42556305" w14:textId="77777777" w:rsidR="00EC1C20" w:rsidRDefault="007A338E" w:rsidP="00CE7748">
            <w:pPr>
              <w:widowControl w:val="0"/>
              <w:spacing w:after="0" w:line="240" w:lineRule="auto"/>
            </w:pPr>
            <w:r>
              <w:t xml:space="preserve">It is a given that we are addicted to our screens.  It seems that the more we use our phones, the more attached we become.  It is doubtful that we can easily extricate ourselves from them. Apple has been urged to develop software that will help parents limit their children’s phone use. Scientists have determined that excessive internet use adversely affects the brain’s frontal lobe and brainstem functions, resulting in delayed cognitive development – the ability to focus, speak, reason, and comprehend social cues. </w:t>
            </w:r>
          </w:p>
        </w:tc>
      </w:tr>
    </w:tbl>
    <w:p w14:paraId="721635DF" w14:textId="77777777" w:rsidR="00EC1C20" w:rsidRDefault="00EC1C20" w:rsidP="00CE7748">
      <w:pPr>
        <w:spacing w:after="0"/>
        <w:rPr>
          <w:b/>
        </w:rPr>
      </w:pPr>
    </w:p>
    <w:sectPr w:rsidR="00EC1C20" w:rsidSect="00806291">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1440"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EC82" w14:textId="77777777" w:rsidR="002320EF" w:rsidRDefault="002320EF">
      <w:pPr>
        <w:spacing w:after="0" w:line="240" w:lineRule="auto"/>
      </w:pPr>
      <w:r>
        <w:separator/>
      </w:r>
    </w:p>
  </w:endnote>
  <w:endnote w:type="continuationSeparator" w:id="0">
    <w:p w14:paraId="6BC90D52" w14:textId="77777777" w:rsidR="002320EF" w:rsidRDefault="0023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634D" w14:textId="77777777" w:rsidR="00CE7748" w:rsidRDefault="00CE7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F8DC" w14:textId="77777777" w:rsidR="00EC1C20" w:rsidRDefault="007A338E">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g">
          <w:drawing>
            <wp:anchor distT="0" distB="0" distL="114300" distR="114300" simplePos="0" relativeHeight="251658240" behindDoc="0" locked="0" layoutInCell="1" hidden="0" allowOverlap="1" wp14:anchorId="48A13D17" wp14:editId="6CB16635">
              <wp:simplePos x="0" y="0"/>
              <wp:positionH relativeFrom="column">
                <wp:posOffset>3905250</wp:posOffset>
              </wp:positionH>
              <wp:positionV relativeFrom="paragraph">
                <wp:posOffset>-9524</wp:posOffset>
              </wp:positionV>
              <wp:extent cx="4319588" cy="394319"/>
              <wp:effectExtent l="0" t="0" r="0" b="0"/>
              <wp:wrapSquare wrapText="bothSides" distT="0" distB="0" distL="114300" distR="114300"/>
              <wp:docPr id="16" name="Group 16"/>
              <wp:cNvGraphicFramePr/>
              <a:graphic xmlns:a="http://schemas.openxmlformats.org/drawingml/2006/main">
                <a:graphicData uri="http://schemas.microsoft.com/office/word/2010/wordprocessingGroup">
                  <wpg:wgp>
                    <wpg:cNvGrpSpPr/>
                    <wpg:grpSpPr>
                      <a:xfrm>
                        <a:off x="0" y="0"/>
                        <a:ext cx="4319588" cy="394319"/>
                        <a:chOff x="3186206" y="3582841"/>
                        <a:chExt cx="4319588" cy="394319"/>
                      </a:xfrm>
                    </wpg:grpSpPr>
                    <wpg:grpSp>
                      <wpg:cNvPr id="1" name="Group 1"/>
                      <wpg:cNvGrpSpPr/>
                      <wpg:grpSpPr>
                        <a:xfrm>
                          <a:off x="3186206" y="3582841"/>
                          <a:ext cx="4319588" cy="394319"/>
                          <a:chOff x="3272175" y="3637125"/>
                          <a:chExt cx="4572000" cy="404150"/>
                        </a:xfrm>
                      </wpg:grpSpPr>
                      <wps:wsp>
                        <wps:cNvPr id="2" name="Rectangle 2"/>
                        <wps:cNvSpPr/>
                        <wps:spPr>
                          <a:xfrm>
                            <a:off x="3272175" y="3637125"/>
                            <a:ext cx="4572000" cy="404150"/>
                          </a:xfrm>
                          <a:prstGeom prst="rect">
                            <a:avLst/>
                          </a:prstGeom>
                          <a:noFill/>
                          <a:ln>
                            <a:noFill/>
                          </a:ln>
                        </wps:spPr>
                        <wps:txbx>
                          <w:txbxContent>
                            <w:p w14:paraId="75D0ACD6" w14:textId="77777777" w:rsidR="00EC1C20" w:rsidRDefault="00EC1C2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3272175" y="3726950"/>
                            <a:ext cx="4572000" cy="314325"/>
                          </a:xfrm>
                          <a:prstGeom prst="rect">
                            <a:avLst/>
                          </a:prstGeom>
                          <a:noFill/>
                          <a:ln>
                            <a:noFill/>
                          </a:ln>
                        </pic:spPr>
                      </pic:pic>
                      <wps:wsp>
                        <wps:cNvPr id="3" name="Rectangle 3"/>
                        <wps:cNvSpPr/>
                        <wps:spPr>
                          <a:xfrm>
                            <a:off x="3345750" y="3637125"/>
                            <a:ext cx="4000500" cy="285750"/>
                          </a:xfrm>
                          <a:prstGeom prst="rect">
                            <a:avLst/>
                          </a:prstGeom>
                          <a:noFill/>
                          <a:ln>
                            <a:noFill/>
                          </a:ln>
                        </wps:spPr>
                        <wps:txbx>
                          <w:txbxContent>
                            <w:p w14:paraId="0EAFD140" w14:textId="77777777" w:rsidR="00EC1C20" w:rsidRDefault="007A338E">
                              <w:pPr>
                                <w:spacing w:after="0" w:line="240" w:lineRule="auto"/>
                                <w:jc w:val="right"/>
                                <w:textDirection w:val="btLr"/>
                              </w:pPr>
                              <w:r>
                                <w:rPr>
                                  <w:rFonts w:ascii="Arial" w:eastAsia="Arial" w:hAnsi="Arial" w:cs="Arial"/>
                                  <w:b/>
                                  <w:smallCaps/>
                                  <w:color w:val="2D2D2D"/>
                                </w:rPr>
                                <w:t>MILLION DOLLAR QUESTION</w:t>
                              </w:r>
                            </w:p>
                          </w:txbxContent>
                        </wps:txbx>
                        <wps:bodyPr spcFirstLastPara="1" wrap="square" lIns="91425" tIns="45700" rIns="91425" bIns="45700" anchor="t" anchorCtr="0">
                          <a:noAutofit/>
                        </wps:bodyPr>
                      </wps:wsp>
                    </wpg:grpSp>
                  </wpg:wgp>
                </a:graphicData>
              </a:graphic>
            </wp:anchor>
          </w:drawing>
        </mc:Choice>
        <mc:Fallback>
          <w:pict>
            <v:group w14:anchorId="48A13D17" id="Group 16" o:spid="_x0000_s1026" style="position:absolute;left:0;text-align:left;margin-left:307.5pt;margin-top:-.75pt;width:340.15pt;height:31.05pt;z-index:251658240" coordorigin="31862,35828" coordsize="43195,3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kkEuagMAAA4KAAAOAAAAZHJzL2Uyb0RvYy54bWy0VttO3DAQfa/U&#10;f7DyDtlc9kLELqpKQZV6QdCqz17H2VhNbNf2XujXd8ZOdhcWSqHtAyGTzNrnnJk5zunZpm3Iihsr&#10;lJxGyfEgIlwyVQq5mEZfv1wcTSJiHZUlbZTk0+iW2+hs9vrV6VoXPFW1akpuCCwibbHW06h2Thdx&#10;bFnNW2qPleYSXlbKtNRBaBZxaegaVm+bOB0MRvFamVIbxbi18PQ8vIxmfv2q4sx9rirLHWmmEWBz&#10;/mr8dY7XeHZKi4Whuhasg0FfgKKlQsKm26XOqaNkacTBUq1gRllVuWOm2lhVlWDccwA2yeAem0uj&#10;ltpzWRTrhd7KBNLe0+nFy7JPq0ujb/SVASXWegFa+Ai5bCrT4n9ASTZestutZHzjCIOHeZacDCdQ&#10;ZAbvshMMg6asBuHxZ1kyGaWDUUQwYThJJ3nSZ7z7/SJxDyG+A2wbBMDA4MoQUUL3RUTSFprM60b8&#10;Npj8DI6Pgn0G33ScJuNh4DvKxkk6POA7HEPvQjuiaPkgT4a+ER/lC6Nhd9W3f1f9m5pq7pvKojKd&#10;dmmv3TWMDJWLhpMUYa+1z9o2iC0s9MoD3ZE9Rnur3BOkaaGNdZdctQRvppEBJH6m6OqDdYAF9OlT&#10;EIBUF6Jp/AA38s4DSMQn0DY9XLxzm/mmYzRX5S0Qt5pdCNjrA7XuihoYfGihNZjBNLI/ltTwiDTv&#10;Jeh9kuRQReL2A7MfzPcDKlmtwGOYMxEJwVvnPSegfLN0qhKeEeIKYDq4UOjZqRasgL9u3uHuoOJP&#10;+yL8yi2RQfDW9o/WaKn5vtRHYE2aOjEXjXC33mahDghKrq4Ew/JjsGuevG8e31skx8bpMzAfCsor&#10;bq55A6uu+DW34ieMaWj6g3XnjdBYWWKU+yZc7RfF0qB6+LKjBIrec8EHVAkOe67YsuXShSPDeBxK&#10;2lpoGxFT8HbOwT/M+zJsQhtd04+qvBDYMNBNuCvubg3D+fA9Z53hjtWYgBR61IH5nwzJOB2dhMGn&#10;xYNDkiV5Fsxj6wy7CfhnQ4LgA1zPA8Iw9f/dcrK+a3aWkz3PcrJ8OAYF/cmy77RbNcFkh73PphOf&#10;HAraH229n/wzNQ8tpzuaYN/dsL/QeYAusnnAebo3vfO4l/nO7pz1buQ/Onz/dx9I+FWzH/us3Wfc&#10;7BcAAAD//wMAUEsDBAoAAAAAAAAAIQBgcNKW3CMAANwjAAAUAAAAZHJzL21lZGlhL2ltYWdlMS5q&#10;cGf/2P/gABBKRklGAAECAAABAAEAAP/bAEMACAYGBwYFCAcHBwkJCAoMFA0MCwsMGRITDxQdGh8e&#10;HRocHCAkLicgIiwjHBwoNyksMDE0NDQfJzk9ODI8LjM0Mv/bAEMBCQkJDAsMGA0NGDIhHCEyMjIy&#10;MjIyMjIyMjIyMjIyMjIyMjIyMjIyMjIyMjIyMjIyMjIyMjIyMjIyMjIyMjIyMv/AABEIAGgF3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GSRYo2kc4RQWY+&#10;gFUV1/THYKLjJJwB5bf4Vav/APkG3X/XJ/5GuBt/+PqL/fH86aVyJSa2PSKKKKRYVTm1GygcxzXl&#10;vHJ3V5VBH4E1cr5v+Kv/ACUbU/pD/wCikoA+ghqunMQFv7UknAAmXn9avV8k6T/yGrH/AK+I/wD0&#10;IV9bUAQySLGjSOyqijLMTgAeuag/tbTf+gha/wDf5f8AGvM/jB4q+zWUfh61f97cASXJB+7Hnhfx&#10;Iz9B714tQB9aw6hZXDBILy3kc9FSQEn8Aau15h8JfCn9l6adcu48Xd6uIQRzHF1z/wAC4P0Ard+I&#10;Hir/AIRTQfOg2tfXDGO3VugOOWI9AP1IoA39T1vS9HiEmpahb2qkZAkcAt9B1P4Vgt8UfBytg6yM&#10;+1tKf/Za+dr2+utRu5Lq9uJJ55DlpJGJJqOOCaVWMUMkgUZYopOPrjpQB9N6b408OavKsVlq9u8h&#10;OFjZjGzfQMATXR18e16t8LvHN0dQi0DU52mhlG21kkOWRgOEJ7gjp6HHrQB7ZTGYIpZiAoGSSelP&#10;rwf4p+Mri/1WbQbKdksbU7Jwpx5sg6g+wPGPUH2oA9PvfiD4UsJTFPrduXHBEQaX9UBqvH8TfB0j&#10;BV1pAf8AaglX9StfN4BLAAEknAA71JNBNbsBNDJGSMgOpGfzoA+rbHUrLVLcTWF3DcxH+OFwwHsc&#10;dK0K+UNC12/8PalHfWMzI6n50ydsi91YdxX03o2q22saPa6lAwEVzGJFBPIz1B9wcj8KANS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qah/wAg26/64v8AyNcF&#10;b/8AH1F/vj+dd7qH/INuv+uL/wAjXBW//H1F/vj+dNGctz0iiiikaBXzf8Vf+Sjan9If/RSV9IV8&#10;3/FX/ko2p/SH/wBFJQBzOk/8hqx/6+I//QhX1DrerW2h6PdaldH91bxliM8segUe5OB+NfL2k/8A&#10;Iasf+viP/wBCFehfGDxV9u1NNAtZM29od1wQfvS44H/AQfzJ9KAPPtW1O51nVbnUbtt09xIXb29A&#10;PYDA/Cuh+HvhQ+KfEKLMhOn2uJLk44Ydk/4ER+QNcrbwTXdxFbwI0k0rBERRyzE4AFfTHgzwzD4W&#10;0CCxG1rhv3lxIP45D1/AdB9KAOjVQihVAVQMADtXh/xtnd/EenW5J8uO08wD0LOwP/oIr3Os+40n&#10;Tr6QS3lha3EijaGmhVyB6ZIoA+Ta+pfC+lW+jeG9Ps7eNUCwozkD7zkAsx9yatf8I5of/QG07/wF&#10;T/CrUkkdtA0kjKkUa5ZjwFUDrQB87/E/T7fTvHV5HaosccqpKUUYAZhz+Z5/Gub0m5ez1ixuYiQ8&#10;VxHIpHYhgaveLtaHiDxTf6kuRFI+2IEfwKAq/oAfxpPCOmNrHi3S7IKWD3ClwOyKdzfoDQB9Q3M6&#10;WtrNO/3IkZ2+gGTXyTcTvc3UtxKS0krl2J7knJr6k8VSeV4R1mToVsJyP++DXytQB6X8GNMiu/El&#10;5fSxq5tIB5ZI+6zHGR74B/OvQvifpkOoeBb+SSMNLagTRNjlSGGcfUZrk/gWoxrzd824/wDRleh+&#10;M0EngrWwe1lKfyUn+lAHy3XuPwn16CHwaba6m2mG6dUHopCt/NjXh1bmjXLw2jorceYT+goA+pq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CpqH/INuv+uL/wAj&#10;XBW//H1F/vj+dd7qH/INuv8Ari/8jXBW/wDx9Rf74/nTRnLc9IooopGgV83/ABV/5KNqf0h/9FJX&#10;0hXzf8Vf+Sjan9If/RSUAclbPLFdQvAMyrIrIAM5YHjj602WV55nmmZnkkYszseWJ5JNWdJ/5DVj&#10;/wBfEf8A6EK6L4j+Hf8AhHvF1wsSbbS6/wBIgwOACeV/A5/DFAGp8IINOm8YO15zdxwlrRSON3Rj&#10;9QOn4+lfQFfJOlalcaPqtrqNq22a3kEi++OoPsRkfjX1Ho2pQazpNtqNscw3EYkX2z1B9wcj8KAN&#10;OiiigArx34t+Mwhbw1YSjcwzeSKeg6iP+p/AetdZ4+8Yx+E9I2wMrancgrboedg7uR6Dt6n8a+dp&#10;ZXnleaV2kkdizOxyWJ5JJoAZXsvwa8MmGKfxFcpgygw2oI/hz8zfmMfga898GeFbjxZriWq7ktI8&#10;PczD+BPQe56D/wCtX0ra2sFlaRWttGscEKBI0XoqgYAoAyPGz7fBOt/9ecg/NTXy9X1J40Xd4K1s&#10;Yz/oUp/JSa+W6APY/gWP3Wun/ag/9qV6N4t/5EzXP+wfcf8Aotq85+Bf+r1362//ALUr0TxcceDd&#10;cz/z4Tj/AMhtQB8sUu40lOClhnn8qAPrS5u4LOBp7mZIYVGWeRgqj6k1gp498MTTCFdZtd5OMlsL&#10;/wB9EYrxbxv4puvEWszKZmFlbuUgiB+UgHG4+pNctXNKvroevRyrmheb1PrWKVJ0WSNlZGGVZTkE&#10;VNXg3wu8V3NhrUWjXErPY3JKxKx/1UnUY9j0x64r3gcitoTU1c8/EUJUJ8rHUUUVZg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U1D/kG3X/XF/wCRrgrf/j6i/wB8fzrvdQ/5Bt1/&#10;1xf+Rrgrf/j6i/3x/OmjOW56RRRRSNAr5v8Air/yUbU/pD/6KSvpCvm/4q/8lG1P6Q/+ikoA5nSf&#10;+Q1Y/wDXxH/6EK95+Knh7+2fCj3MS7rrTyZ0x1KY+cfkM/8AARXg2k/8hqx/6+I//QhX1myh1IIB&#10;BGCDQB8gV678G/EuHuPD1xJw2Z7XJ/77Uf8AoX4NXCeN/Dx8NeKbuxCkW7HzbcnvG3Qe+OR+FZGl&#10;6jcaRqdtqFq22e3kEin1x2Psen40AfW9Y+v65aeHdHn1K8bEcQ+VQeXY9FHuak0bVLfW9ItdStjm&#10;G4jDjn7p7g+4OR+FeJ/F7Wbu68Wvpkj4tLJUMaDuzKGLH35xQBx+va3d+INYn1K+bMsp4UHhF7KP&#10;YUmiaNfeINUh06xi3zSdT/Ci92PoBWdXqngzxv4Q8I6YIUttRkvJQDcXHkp8x9B8/CigD07wx4ds&#10;/C+jx6fZjJ+9LKR80r92P+Haugrzn/hdPhr/AJ9tT/78p/8AF0f8Lp8Nf8+2p/8AflP/AIugDsPE&#10;kJuPC+rwgZMllMgH1QivlOvrmKSO6tUkAzHKgYBh2I718ra3pkuja7e6dKCGt5mjBI6gHg/iMH8a&#10;APTfgbKBca5D3ZYWH4Fx/UV6H46lEXgbWmPe1dfzGP614f8ADnxPbeGfEjTXrlLS5iMUjgE7DkEN&#10;gcnpj8a7T4jePNGv/DMulaTeLdTXbKHKKcIgIY5JHUkAY+tAHjddP4d0F9T055lTcFlKZ/AH+tcx&#10;X0V8KtKbTfAts0u5Xu5Gudp7A4C/mqg/jQB4JqNlLp2o3NlMCssErIwPqDVavffGXw5tPE0v223l&#10;FrqAGC+3KyAdNw9ff9DXCR/CDxA1xseewWPPMgkY5+g21xypSTsj6SjmFGULydn1Of8AA9jNf+M9&#10;LjhBPlziZyOypyc/lj8a+gvJ1rJxc2uOw2H/AArI8H+CLHwpbsY2M95KMSzsMEj0UdhXW5ropQ5V&#10;qeNjcQq9S8dkZXk65/z9Wv8A3wf8KPJ1z/n6tf8Avg/4Vr0VocdjI8nXP+fq1/74P+FHk65/z9Wv&#10;/fB/wrXooCxkeTrn/P1a/wDfB/wo8nXP+fq1/wC+D/hWvRQFjI8nXP8An6tf++D/AIUeTrn/AD9W&#10;v/fB/wAK16KAsZHk65/z9Wv/AHwf8KPJ1z/n6tf++D/hWvRQFjI8nXP+fq1/74P+FHk65/z9Wv8A&#10;3wf8K16KAsZHk65/z9Wv/fB/wo8nXP8An6tf++D/AIVr0UBYyPJ1z/n6tf8Avg/4UeTrn/P1a/8A&#10;fB/wrXooCxkeTrn/AD9Wv/fB/wAKPJ1z/n6tf++D/hWvRQFjI8nXP+fq1/74P+FHk65/z9Wv/fB/&#10;wrXooCxkeTrn/P1a/wDfB/wo8nXP+fq1/wC+D/hWvRQFjI8nXP8An6tf++D/AIUeTrn/AD9Wv/fB&#10;/wAK16KAsZHk65/z9Wv/AHwf8KPJ1z/n6tf++D/hWvRQFjI8nXP+fq1/74P+FHk65/z9Wv8A3wf8&#10;K16KAsZHk65/z9Wv/fB/wo8nXP8An6tf++D/AIVr0UBYyPJ1z/n6tf8Avg/4UeTrn/P1a/8AfB/w&#10;rXooCxkeTrn/AD9Wv/fB/wAKPJ1z/n6tf++D/hWvRQFjI8nXP+fq1/74P+FHk65/z9Wv/fB/wrXo&#10;oCxkeTrn/P1a/wDfB/wo8nXP+fq1/wC+D/hWvRQFjI8nXP8An6tf++D/AIUeTrn/AD9Wv/fB/wAK&#10;16KAsZHk65/z9Wv/AHwf8KPJ1z/n6tf++D/hWvRQFjI8nXP+fq1/74P+FHk65/z9Wv8A3wf8K16K&#10;AsZHk65/z9Wv/fB/wo8nXP8An6tf++D/AIVr0UBYyPJ1z/n6tf8Avg/4UeTrn/P1a/8AfB/wrXoo&#10;CxkeTrn/AD9Wv/fB/wAKPJ1z/n6tf++D/hWvRQFjI8nXP+fq1/74P+FHk65/z9Wv/fB/wrXooCxk&#10;eTrn/P1a/wDfB/wo8nXP+fq1/wC+D/hWvRQFjI8nXP8An6tf++D/AIUeTrn/AD9Wv/fB/wAK16KA&#10;sZHk65/z9Wv/AHwf8KPJ1z/n6tf++D/hWvRQFjI8nXP+fq1/74P+FHk65/z9Wv8A3wf8K16KAsZH&#10;k65/z9Wv/fB/wo8nXP8An6tf++D/AIVr0UBYyPJ1z/n6tf8Avg/4UeTrn/P1a/8AfB/wrXooCxke&#10;Trn/AD9Wv/fB/wAKPJ1z/n6tf++D/hWvRQFjI8nXP+fq1/74P+FHk65/z9Wv/fB/wrXooCxkeTrn&#10;/P1a/wDfB/wo8nXP+fq1/wC+D/hWvRQFjI8nXP8An6tf++D/AIUeTrn/AD9Wv/fB/wAK16KAsZHk&#10;65/z9Wv/AHwf8KPJ1z/n6tf++D/hWvRQFjI8nXP+fq1/74P+FHk65/z9Wv8A3wf8K16KAsZHk65/&#10;z9Wv/fB/wo8nXP8An6tf++D/AIVr0UBYyPJ1z/n6tf8Avg/4UeTrn/P1a/8AfB/wrXooCxkeTrn/&#10;AD9Wv/fB/wAKPJ1z/n6tf++D/hWvRQFjI8nXP+fq1/74P+FHk65/z9Wv/fB/wrXooCxkeTrn/P1a&#10;/wDfB/wo8nXP+fq1/wC+D/hWvRQFjI8nXP8An6tf++D/AIUeTrn/AD9Wv/fB/wAK16KAsZHk65/z&#10;9Wv/AHwf8KPJ1z/n6tf++D/hWvRQFjI8nXP+fq1/74P+FHk65/z9Wv8A3wf8K16KAsZHk65/z9Wv&#10;/fB/wo8nXP8An6tf++D/AIVr0UBYyPJ1z/n6tf8Avg/4UeTrn/P1a/8AfB/wrXooCxkeTrn/AD9W&#10;v/fB/wAKPJ1z/n6tf++D/hWvRQFjI8nXP+fq1/74P+FHk65/z9Wv/fB/wrXooCxkeTrn/P1a/wDf&#10;B/wo8nXP+fq1/wC+D/hWvRQFjI8nXP8An6tf++D/AIUeTrn/AD9Wv/fB/wAK16KAsZHk65/z9Wv/&#10;AHwf8KPJ1z/n6tf++D/hWvRQFjI8nXP+fq1/74P+FHk65/z9Wv8A3wf8K16KAsZHk65/z9Wv/fB/&#10;wo8nXP8An6tf++D/AIVr0UBYyPJ1z/n6tf8Avg/4UeTrn/P1a/8AfB/wrXooCxkeTrn/AD9Wv/fB&#10;/wAKPJ1z/n6tf++D/hWvRQFjI8nXP+fq1/74P+FHk65/z9Wv/fB/wrXooCxkeTrn/P1a/wDfB/wo&#10;8nXP+fq1/wC+D/hWvRQFjI8nXP8An6tf++D/AIUeTrn/AD9Wv/fB/wAK16KAsZHk65/z9Wv/AHwf&#10;8KPJ1z/n6tf++D/hWvRQFjI8nXP+fq1/74P+FHk65/z9Wv8A3wf8K16KAsZHk65/z9Wv/fB/wo8n&#10;XP8An6tf++D/AIVr0UBYyPJ1z/n6tf8Avg/4UeTrn/P1a/8AfB/wrXooCxkeTrn/AD9Wv/fB/wAK&#10;PJ1z/n6tf++D/hWvRQFjI8nXP+fq1/74P+FHk65/z9Wv/fB/wrXooCxkeTrn/P1a/wDfB/wo8nXP&#10;+fq1/wC+D/hWvRQFjI8nXP8An6tf++D/AIUeTrn/AD9Wv/fB/wAK16KAsZHk65/z9Wv/AHwf8KPJ&#10;1z/n6tf++D/hWvRQFjI8nXP+fq1/74P+FHk65/z9Wv8A3wf8K16KAsZHk65/z9Wv/fB/wo8nXP8A&#10;n6tf++D/AIVr0UBYyPJ1z/n6tf8Avg/4UeTrn/P1a/8AfB/wrXooCxkeTrn/AD9Wv/fB/wAKPJ1z&#10;/n6tf++D/hWvRQFjI8nXP+fq1/74P+FHk65/z9Wv/fB/wrXooCxkeTrn/P1a/wDfB/wo8nXP+fq1&#10;/wC+D/hWvRQFjI8nXP8An6tf++D/AIUeTrn/AD9Wv/fB/wAK16KAsZHk65/z9Wv/AHwf8KPJ1z/n&#10;6tf++D/hWvRQFjI8nXP+fq1/74P+FHk65/z9Wv8A3wf8K16KAsZHk65/z9Wv/fB/wo8nXP8An6tf&#10;++D/AIVr0UBYyPJ1z/n6tf8Avg/4UeTrn/P1a/8AfB/wrXooCxkeTrn/AD9Wv/fB/wAKPJ1z/n6t&#10;f++D/hWvRQFjAu4dYFnP5txbGPy23AKckY57Vy1v/wAfUX++P513t/8A8g67/wCuL/yNcFb/APH1&#10;F/vj+dUiJrVHpFFFFSaBXz18S9K1G78e6lNb2F1LEwiw8cLMD+6UdQK+haKAPljS9E1ZNYsmbTLw&#10;KLiMkm3bj5h7V9T0UUAebfFrwzJrOix6haQtJeWLfdRcs8bdQAOTg4P514r/AGFq/wD0C73/AMB2&#10;/wAK+s6KAPIvhFe6lZ/atDv7K7ihb9/bvLCyqD0Zckd+D+B9a5j4maVqN1481Ca3sLqWJliw8cLM&#10;pxGo6gV9CUUAfJn9hav/ANAu9/8AAdv8KP7C1f8A6Bd7/wCA7f4V9Z0UAfJn9hav/wBAu9/8B2/w&#10;o/sLV/8AoF3v/gO3+FfWdFAFPTgV0y0VgQRCgIPb5RXAfET4fyeJCNU0wINSRdrxscCZR056Bh7/&#10;AJ8V6XRQB8lX+j6lpcpiv7C4tnHUSxlc/QkVWihlncJDE8jHoEUkmvr6kAxQB4D4O+F2p6teRXOs&#10;W8tnpyEMySDbJL/sheoHufwr3Q2kAVE2bVRQqqo4AHQVb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CpqH/INuv+uL/yNcFb/wDH1F/vj+dd7qH/ACDbr/ri&#10;/wDI1wVv/wAfUX++P500Zy3PSKKKKRoFecp4k1dvjJLoBuz/AGWse4QeWnXyQ33sbupz1r0avHZb&#10;q3svj3cT3VxFBCsQBklcKozbqOpNAHr9c7P408PWuq/2bLqcS3e7YU5wG9C2NoP1NaVvqunagWis&#10;tQtbl1GWWGZXIHqcGvHNT+GPiGbxFOIUjezmmZxdNIOFJzyud2eewqZNrZG9CnTm3zysd38Tdd1L&#10;w/4YhvdKufs9w10sZfYr/KVYkYYEdQKzbHTviTf2FveJ4psFSeJZVDWyZAYZwf3fvR8X4vJ8BWcO&#10;5m2XkS7j1OEcZNZei+DvCZstOvJfFE8c/lxytEb6IBWwCVxjPXjFUYs9bZ0jjLMQqjqTUVveQ3JI&#10;ikDEdR3pl9bm7tGSNhk4IOeDVLS9PuILgyygIAMAZzmuGrWrRrRhGN4vdlxjFwbb1Of+I/iW+8P6&#10;TaQ6TJs1K9nEcJCBjtHXAII6lR+NR/DfxPf67YX9tq0vmajZXGxyUVDtPTgADghh+Vcp4m1a81T4&#10;qpLp+lzarHomALeEkZcclicHGHIH/AaZ4b1W90z4rmfUNLm0tNayrW8pJ+ZjkEHA6uP/AB413GZ6&#10;7eanaacF+1TrHu6ZBJP4AU2W7STTZbm1lVh5TMjjB5ArD8S6He393FcWqiTCbGQsBjknIyferun6&#10;dLpvh25hnYGRkkcgdFyOn6VbjFQTT1M1KXPZrQ888Kal8QvF2n3F5ZeI7aEQy+WUmto+TgHtGfWu&#10;i+GXi3UvEcGo2+q7JLmydR5yKF3ht3BA4yCp6etcJ8PPCt94k0TUDbeIL3TUWXY0MLNskJXqwDDP&#10;pXVfBu6D6RqVgYIo5bWdS7ouGfcCBuPfBU1Bod7NrenQ3P2Wa7RZs4KnOAfc4wPxrH8f6vfaJ4Ou&#10;9Q06fybqNowr7VbGXAPBBHQ1nah4X1GbV5mhVHhlkLiQuPlyc8jrT/ifF5Pw1uoslthhXJ74dRms&#10;acpNvmQ9DN+HPjLVdV1C40rX5xJdtElzbOUVNyFQSPlAB4IP5+lcRq3xF8U2mtX9tFq22KK5kRF8&#10;iPhQxAH3fStvVrKfSvCvhHxlYL/pFhBFHcAfxRnpn25K/wDA6801W7trvWL65XdsmuJJE47FiRWw&#10;j61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IpIlljaNxlG&#10;BVh6g1QXQNMRgy2+CDkHzG/xoooEzUooooGFctqngLw1reoy6hqOm+ddS4DyefIucAAcKwHQCiig&#10;Cxofg/QvDc8k+lWP2eWVdjt50j5Gc4+Zj3roaKKAMfWtB03xDZLZ6pbfaLdXEgTzGT5gCAcqQehN&#10;Y3/CrPBn/QG/8mpv/i6KKAOtjRY0VFGFUYA9qkoooAw9J8N6To1xd3GnWvlTXbbp3MrOXOSerE45&#10;J6UmreGdI1y5tbjUbTzZrU5hcSMhQ5B/hIzyB1oooA3ahkjWWN43GUYFWGeoNFFAGZonhvSvDsMs&#10;GlWv2eOVt7jzGfJxj+Imo9J8NaRoV1dXWm2hgmujmYiV2DnJPQkgck9PWiigDdrM1XSbHXNPew1G&#10;DzrWQgum9lzg5HIIPUUUUAM/sPTv7D/sc24On+V5PkliRsxjGc5/HOfesT/hVngz/oDf+TU3/wAX&#10;RRQB/9lQSwMEFAAGAAgAAAAhAHZ1W6jgAAAACgEAAA8AAABkcnMvZG93bnJldi54bWxMj0FrwkAU&#10;hO+F/oflFXrTTZSEmmYjIm1PUqgWirdn9pkEs29Ddk3iv+96ao/DDDPf5OvJtGKg3jWWFcTzCARx&#10;aXXDlYLvw/vsBYTzyBpby6TgRg7WxeNDjpm2I3/RsPeVCCXsMlRQe99lUrqyJoNubjvi4J1tb9AH&#10;2VdS9ziGctPKRRSl0mDDYaHGjrY1lZf91Sj4GHHcLOO3YXc5b2/HQ/L5s4tJqeenafMKwtPk/8Jw&#10;xw/oUASmk72ydqJVkMZJ+OIVzOIExD2wWCVLEKdgRSnIIpf/LxS/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GkkEuagMAAA4KAAAOAAAAAAAAAAAAAAAAAD0CAABk&#10;cnMvZTJvRG9jLnhtbFBLAQItAAoAAAAAAAAAIQBgcNKW3CMAANwjAAAUAAAAAAAAAAAAAAAAANMF&#10;AABkcnMvbWVkaWEvaW1hZ2UxLmpwZ1BLAQItABQABgAIAAAAIQB2dVuo4AAAAAoBAAAPAAAAAAAA&#10;AAAAAAAAAOEpAABkcnMvZG93bnJldi54bWxQSwECLQAUAAYACAAAACEAN53BGLoAAAAhAQAAGQAA&#10;AAAAAAAAAAAAAADuKgAAZHJzL19yZWxzL2Uyb0RvYy54bWwucmVsc1BLBQYAAAAABgAGAHwBAADf&#10;KwAAAAA=&#10;">
              <v:group id="Group 1" o:spid="_x0000_s1027" style="position:absolute;left:31862;top:35828;width:43195;height:3943" coordorigin="32721,36371" coordsize="45720,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2721;top:36371;width:45720;height:4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5D0ACD6" w14:textId="77777777" w:rsidR="00EC1C20" w:rsidRDefault="00EC1C20">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32721;top:37269;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JxAAAANoAAAAPAAAAZHJzL2Rvd25yZXYueG1sRI/NasMw&#10;EITvgb6D2EJuiVy7FNeNYkqIIRQC+Wnvi7W13VgrYym2+/ZVoJDjMDPfMKt8Mq0YqHeNZQVPywgE&#10;cWl1w5WCz3OxSEE4j6yxtUwKfslBvn6YrTDTduQjDSdfiQBhl6GC2vsuk9KVNRl0S9sRB+/b9gZ9&#10;kH0ldY9jgJtWxlH0Ig02HBZq7GhTU3k5XY2Cn932df9VHD44HTaHJE22x7i4KDV/nN7fQHia/D38&#10;395pBc9wuxJugFz/AQAA//8DAFBLAQItABQABgAIAAAAIQDb4fbL7gAAAIUBAAATAAAAAAAAAAAA&#10;AAAAAAAAAABbQ29udGVudF9UeXBlc10ueG1sUEsBAi0AFAAGAAgAAAAhAFr0LFu/AAAAFQEAAAsA&#10;AAAAAAAAAAAAAAAAHwEAAF9yZWxzLy5yZWxzUEsBAi0AFAAGAAgAAAAhAD/K9AnEAAAA2gAAAA8A&#10;AAAAAAAAAAAAAAAABwIAAGRycy9kb3ducmV2LnhtbFBLBQYAAAAAAwADALcAAAD4AgAAAAA=&#10;">
                  <v:imagedata r:id="rId2" o:title=""/>
                </v:shape>
                <v:rect id="Rectangle 3" o:spid="_x0000_s1030" style="position:absolute;left:33457;top:36371;width:4000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0EAFD140" w14:textId="77777777" w:rsidR="00EC1C20" w:rsidRDefault="007A338E">
                        <w:pPr>
                          <w:spacing w:after="0" w:line="240" w:lineRule="auto"/>
                          <w:jc w:val="right"/>
                          <w:textDirection w:val="btLr"/>
                        </w:pPr>
                        <w:r>
                          <w:rPr>
                            <w:rFonts w:ascii="Arial" w:eastAsia="Arial" w:hAnsi="Arial" w:cs="Arial"/>
                            <w:b/>
                            <w:smallCaps/>
                            <w:color w:val="2D2D2D"/>
                          </w:rPr>
                          <w:t>MILLION DOLLAR QUESTION</w:t>
                        </w:r>
                      </w:p>
                    </w:txbxContent>
                  </v:textbox>
                </v:rect>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FE63" w14:textId="77777777" w:rsidR="00CE7748" w:rsidRDefault="00CE7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6F68" w14:textId="77777777" w:rsidR="002320EF" w:rsidRDefault="002320EF">
      <w:pPr>
        <w:spacing w:after="0" w:line="240" w:lineRule="auto"/>
      </w:pPr>
      <w:r>
        <w:separator/>
      </w:r>
    </w:p>
  </w:footnote>
  <w:footnote w:type="continuationSeparator" w:id="0">
    <w:p w14:paraId="7E0AAC5D" w14:textId="77777777" w:rsidR="002320EF" w:rsidRDefault="00232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8DBF" w14:textId="77777777" w:rsidR="00CE7748" w:rsidRDefault="00CE7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266C" w14:textId="77777777" w:rsidR="00EC1C20" w:rsidRDefault="00EC1C20">
    <w:pPr>
      <w:widowControl w:val="0"/>
      <w:spacing w:before="240" w:after="24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B4BE" w14:textId="77777777" w:rsidR="00CE7748" w:rsidRDefault="00CE7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20"/>
    <w:rsid w:val="002320EF"/>
    <w:rsid w:val="002B2D4A"/>
    <w:rsid w:val="0053785A"/>
    <w:rsid w:val="007A338E"/>
    <w:rsid w:val="00806291"/>
    <w:rsid w:val="00CE7748"/>
    <w:rsid w:val="00EC1C20"/>
    <w:rsid w:val="00F5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3B34A"/>
  <w15:docId w15:val="{865BCE99-9CEC-BA48-B9E6-2EBEDFBE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7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748"/>
  </w:style>
  <w:style w:type="paragraph" w:styleId="Footer">
    <w:name w:val="footer"/>
    <w:basedOn w:val="Normal"/>
    <w:link w:val="FooterChar"/>
    <w:uiPriority w:val="99"/>
    <w:unhideWhenUsed/>
    <w:rsid w:val="00CE7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ws0+RljdhNA0/jtWShDQ5N69ig==">AMUW2mUP4A3VBOF20gj72K9RYA+fnQHIxTQxSCr+S68TbmqjPIezWed3re4XQGElwCSnSWdQkLS/ZIrcg4SSxVFpf5b9yoi9Kkz5nbQn/v1iHjHc7mWtpZ8=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2022-03-25T14:19:00Z</dcterms:created>
  <dcterms:modified xsi:type="dcterms:W3CDTF">2022-03-25T14:19:00Z</dcterms:modified>
</cp:coreProperties>
</file>