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FC7448" w14:textId="21B9350F" w:rsidR="00446C13" w:rsidRPr="00D64334" w:rsidRDefault="00775568" w:rsidP="00D64334">
      <w:pPr>
        <w:pStyle w:val="Title"/>
        <w:rPr>
          <w:lang w:val="es-US"/>
        </w:rPr>
      </w:pPr>
      <w:r w:rsidRPr="00D64334">
        <w:t>Volúmenes con secciones transversales conocidas</w:t>
      </w:r>
    </w:p>
    <w:p w14:paraId="21AA7B32" w14:textId="54A5EEF8" w:rsidR="00446C13" w:rsidRPr="00D64334" w:rsidRDefault="00680C40" w:rsidP="00680C40">
      <w:pPr>
        <w:autoSpaceDE w:val="0"/>
        <w:autoSpaceDN w:val="0"/>
        <w:adjustRightInd w:val="0"/>
        <w:spacing w:after="0" w:line="240" w:lineRule="auto"/>
        <w:rPr>
          <w:sz w:val="22"/>
          <w:szCs w:val="20"/>
          <w:lang w:val="es-US"/>
        </w:rPr>
      </w:pPr>
      <w:r w:rsidRPr="00D64334">
        <w:rPr>
          <w:rFonts w:ascii="Calibri" w:hAnsi="Calibri" w:cs="Calibri"/>
          <w:sz w:val="20"/>
          <w:szCs w:val="20"/>
          <w:lang w:val="es"/>
        </w:rPr>
        <w:t>Tu objetivo es resolver los volúmenes con secciones transversales conocidas. Crearás tres modelos de volúmenes con secciones transversales conocidas para visualizar mejor las formas de los sólidos que estamos analizando.</w:t>
      </w:r>
    </w:p>
    <w:p w14:paraId="2E3801D4" w14:textId="5C8A2027" w:rsidR="009D6E8D" w:rsidRPr="00D64334" w:rsidRDefault="00680C40" w:rsidP="00B90CD6">
      <w:pPr>
        <w:pStyle w:val="Heading1"/>
        <w:rPr>
          <w:sz w:val="22"/>
          <w:szCs w:val="28"/>
        </w:rPr>
      </w:pPr>
      <w:r w:rsidRPr="00D64334">
        <w:rPr>
          <w:bCs/>
          <w:sz w:val="22"/>
          <w:szCs w:val="28"/>
          <w:lang w:val="es"/>
        </w:rPr>
        <w:t>Qué necesitarás</w:t>
      </w:r>
    </w:p>
    <w:p w14:paraId="0A9E8A9E" w14:textId="77777777" w:rsidR="00680C40" w:rsidRPr="00D64334" w:rsidRDefault="00680C40" w:rsidP="00680C40">
      <w:pPr>
        <w:pStyle w:val="ListParagraph"/>
        <w:numPr>
          <w:ilvl w:val="0"/>
          <w:numId w:val="12"/>
        </w:numPr>
        <w:rPr>
          <w:sz w:val="22"/>
          <w:szCs w:val="20"/>
        </w:rPr>
      </w:pPr>
      <w:r w:rsidRPr="00D64334">
        <w:rPr>
          <w:sz w:val="22"/>
          <w:szCs w:val="20"/>
          <w:lang w:val="es"/>
        </w:rPr>
        <w:t>Transportador</w:t>
      </w:r>
    </w:p>
    <w:p w14:paraId="36D08269" w14:textId="77777777" w:rsidR="00680C40" w:rsidRPr="00D64334" w:rsidRDefault="00680C40" w:rsidP="00680C40">
      <w:pPr>
        <w:pStyle w:val="ListParagraph"/>
        <w:numPr>
          <w:ilvl w:val="0"/>
          <w:numId w:val="12"/>
        </w:numPr>
        <w:rPr>
          <w:sz w:val="22"/>
          <w:szCs w:val="20"/>
        </w:rPr>
      </w:pPr>
      <w:r w:rsidRPr="00D64334">
        <w:rPr>
          <w:sz w:val="22"/>
          <w:szCs w:val="20"/>
          <w:lang w:val="es"/>
        </w:rPr>
        <w:t>Brújula</w:t>
      </w:r>
    </w:p>
    <w:p w14:paraId="3FC36221" w14:textId="77777777" w:rsidR="00680C40" w:rsidRPr="00D64334" w:rsidRDefault="00680C40" w:rsidP="00680C40">
      <w:pPr>
        <w:pStyle w:val="ListParagraph"/>
        <w:numPr>
          <w:ilvl w:val="0"/>
          <w:numId w:val="12"/>
        </w:numPr>
        <w:rPr>
          <w:sz w:val="22"/>
          <w:szCs w:val="20"/>
        </w:rPr>
      </w:pPr>
      <w:r w:rsidRPr="00D64334">
        <w:rPr>
          <w:sz w:val="22"/>
          <w:szCs w:val="20"/>
          <w:lang w:val="es"/>
        </w:rPr>
        <w:t>Lápiz</w:t>
      </w:r>
    </w:p>
    <w:p w14:paraId="7EB42430" w14:textId="77777777" w:rsidR="00680C40" w:rsidRPr="00D64334" w:rsidRDefault="00680C40" w:rsidP="00680C40">
      <w:pPr>
        <w:pStyle w:val="ListParagraph"/>
        <w:numPr>
          <w:ilvl w:val="0"/>
          <w:numId w:val="12"/>
        </w:numPr>
        <w:rPr>
          <w:sz w:val="22"/>
          <w:szCs w:val="20"/>
          <w:lang w:val="es-US"/>
        </w:rPr>
      </w:pPr>
      <w:r w:rsidRPr="00D64334">
        <w:rPr>
          <w:sz w:val="22"/>
          <w:szCs w:val="20"/>
          <w:lang w:val="es"/>
        </w:rPr>
        <w:t xml:space="preserve">Tres hojas de papel de impresora </w:t>
      </w:r>
    </w:p>
    <w:p w14:paraId="0208FA86" w14:textId="56CF7837" w:rsidR="00680C40" w:rsidRPr="00D64334" w:rsidRDefault="00680C40" w:rsidP="00680C40">
      <w:pPr>
        <w:pStyle w:val="ListParagraph"/>
        <w:numPr>
          <w:ilvl w:val="0"/>
          <w:numId w:val="12"/>
        </w:numPr>
        <w:rPr>
          <w:sz w:val="22"/>
          <w:szCs w:val="20"/>
        </w:rPr>
      </w:pPr>
      <w:r w:rsidRPr="00D64334">
        <w:rPr>
          <w:sz w:val="22"/>
          <w:szCs w:val="20"/>
          <w:lang w:val="es"/>
        </w:rPr>
        <w:t>Tres hojas de cartulina</w:t>
      </w:r>
    </w:p>
    <w:p w14:paraId="7043AE18" w14:textId="6A6F4ADF" w:rsidR="00B90CD6" w:rsidRPr="00D64334" w:rsidRDefault="00B90CD6" w:rsidP="00680C40">
      <w:pPr>
        <w:pStyle w:val="ListParagraph"/>
        <w:numPr>
          <w:ilvl w:val="0"/>
          <w:numId w:val="12"/>
        </w:numPr>
        <w:rPr>
          <w:sz w:val="22"/>
          <w:szCs w:val="20"/>
        </w:rPr>
      </w:pPr>
      <w:r w:rsidRPr="00D64334">
        <w:rPr>
          <w:sz w:val="22"/>
          <w:szCs w:val="20"/>
          <w:lang w:val="es"/>
        </w:rPr>
        <w:t>Cinta o pegamento</w:t>
      </w:r>
    </w:p>
    <w:p w14:paraId="3459DD05" w14:textId="14438524" w:rsidR="009D6E8D" w:rsidRPr="00D64334" w:rsidRDefault="00680C40" w:rsidP="00B90CD6">
      <w:pPr>
        <w:pStyle w:val="Heading1"/>
        <w:rPr>
          <w:sz w:val="22"/>
          <w:szCs w:val="28"/>
        </w:rPr>
      </w:pPr>
      <w:r w:rsidRPr="00D64334">
        <w:rPr>
          <w:bCs/>
          <w:sz w:val="22"/>
          <w:szCs w:val="28"/>
          <w:lang w:val="es"/>
        </w:rPr>
        <w:t>Información</w:t>
      </w:r>
    </w:p>
    <w:p w14:paraId="5672C90B" w14:textId="5571FBE8" w:rsidR="00680C40" w:rsidRPr="00D64334" w:rsidRDefault="00680C40" w:rsidP="00680C40">
      <w:pPr>
        <w:autoSpaceDE w:val="0"/>
        <w:autoSpaceDN w:val="0"/>
        <w:adjustRightInd w:val="0"/>
        <w:spacing w:after="0" w:line="240" w:lineRule="auto"/>
        <w:rPr>
          <w:rFonts w:ascii="Calibri" w:hAnsi="Calibri" w:cs="Calibri"/>
          <w:sz w:val="20"/>
          <w:szCs w:val="20"/>
          <w:lang w:val="es-US"/>
        </w:rPr>
      </w:pPr>
      <w:r w:rsidRPr="00D64334">
        <w:rPr>
          <w:rFonts w:ascii="Calibri" w:eastAsia="CambriaMath" w:hAnsi="Calibri"/>
          <w:sz w:val="20"/>
          <w:szCs w:val="20"/>
          <w:lang w:val="es"/>
        </w:rPr>
        <w:t xml:space="preserve">La región </w:t>
      </w:r>
      <w:r w:rsidRPr="00D64334">
        <w:rPr>
          <w:rFonts w:ascii="Cambria Math" w:eastAsia="CambriaMath" w:hAnsi="Cambria Math" w:cs="Cambria Math"/>
          <w:sz w:val="20"/>
          <w:szCs w:val="20"/>
          <w:lang w:val="es"/>
        </w:rPr>
        <w:t>𝑅</w:t>
      </w:r>
      <w:r w:rsidRPr="00D64334">
        <w:rPr>
          <w:rFonts w:ascii="CambriaMath" w:eastAsia="CambriaMath"/>
          <w:sz w:val="20"/>
          <w:szCs w:val="20"/>
          <w:lang w:val="es"/>
        </w:rPr>
        <w:t xml:space="preserve"> </w:t>
      </w:r>
      <w:r w:rsidRPr="00D64334">
        <w:rPr>
          <w:rFonts w:ascii="Calibri" w:eastAsia="CambriaMath" w:hAnsi="Calibri"/>
          <w:sz w:val="20"/>
          <w:szCs w:val="20"/>
          <w:lang w:val="es"/>
        </w:rPr>
        <w:t xml:space="preserve">es el área delimitada por la ecuación </w:t>
      </w:r>
      <w:r w:rsidRPr="00D64334">
        <w:rPr>
          <w:rFonts w:ascii="Cambria Math" w:eastAsia="CambriaMath" w:hAnsi="Cambria Math" w:cs="Cambria Math"/>
          <w:sz w:val="20"/>
          <w:szCs w:val="20"/>
          <w:lang w:val="es"/>
        </w:rPr>
        <w:t>𝑦</w:t>
      </w:r>
      <w:r w:rsidRPr="00D64334">
        <w:rPr>
          <w:rFonts w:ascii="CambriaMath" w:eastAsia="CambriaMath"/>
          <w:sz w:val="20"/>
          <w:szCs w:val="20"/>
          <w:lang w:val="es"/>
        </w:rPr>
        <w:t xml:space="preserve"> = </w:t>
      </w:r>
      <m:oMath>
        <m:rad>
          <m:radPr>
            <m:degHide m:val="1"/>
            <m:ctrlPr>
              <w:rPr>
                <w:rFonts w:ascii="Cambria Math" w:eastAsia="CambriaMath" w:hAnsi="Cambria Math" w:cs="CambriaMath"/>
                <w:i/>
                <w:sz w:val="20"/>
                <w:szCs w:val="20"/>
              </w:rPr>
            </m:ctrlPr>
          </m:radPr>
          <m:deg/>
          <m:e>
            <m:r>
              <w:rPr>
                <w:rFonts w:ascii="Cambria Math" w:eastAsia="CambriaMath" w:hAnsi="Cambria Math" w:cs="CambriaMath"/>
                <w:sz w:val="20"/>
                <w:szCs w:val="20"/>
              </w:rPr>
              <m:t>x</m:t>
            </m:r>
          </m:e>
        </m:rad>
      </m:oMath>
      <w:r w:rsidRPr="00D64334">
        <w:rPr>
          <w:rFonts w:ascii="Calibri" w:eastAsia="CambriaMath" w:hAnsi="Calibri"/>
          <w:sz w:val="20"/>
          <w:szCs w:val="20"/>
          <w:lang w:val="es"/>
        </w:rPr>
        <w:t xml:space="preserve">, la línea </w:t>
      </w:r>
      <m:oMath>
        <m:r>
          <w:rPr>
            <w:rFonts w:ascii="Cambria Math" w:eastAsia="CambriaMath" w:hAnsi="Cambria Math" w:cs="Calibri"/>
            <w:sz w:val="20"/>
            <w:szCs w:val="20"/>
          </w:rPr>
          <m:t>x</m:t>
        </m:r>
        <m:r>
          <w:rPr>
            <w:rFonts w:ascii="Cambria Math" w:eastAsia="CambriaMath" w:hAnsi="Cambria Math" w:cs="Calibri"/>
            <w:sz w:val="20"/>
            <w:szCs w:val="20"/>
            <w:lang w:val="es-US"/>
          </w:rPr>
          <m:t>=2</m:t>
        </m:r>
      </m:oMath>
      <w:r w:rsidRPr="00D64334">
        <w:rPr>
          <w:rFonts w:ascii="Calibri" w:eastAsia="CambriaMath" w:hAnsi="Calibri"/>
          <w:sz w:val="20"/>
          <w:szCs w:val="20"/>
          <w:lang w:val="es"/>
        </w:rPr>
        <w:t xml:space="preserve"> y el eje </w:t>
      </w:r>
      <w:r w:rsidRPr="00D64334">
        <w:rPr>
          <w:rFonts w:ascii="Cambria Math" w:eastAsia="CambriaMath" w:hAnsi="Cambria Math" w:cs="Cambria Math"/>
          <w:sz w:val="20"/>
          <w:szCs w:val="20"/>
          <w:lang w:val="es"/>
        </w:rPr>
        <w:t>𝑥</w:t>
      </w:r>
      <w:r w:rsidRPr="00D64334">
        <w:rPr>
          <w:rFonts w:ascii="Calibri" w:eastAsia="CambriaMath" w:hAnsi="Calibri"/>
          <w:sz w:val="20"/>
          <w:szCs w:val="20"/>
          <w:lang w:val="es"/>
        </w:rPr>
        <w:t xml:space="preserve">. Las bases de las secciones transversales son perpendiculares al eje </w:t>
      </w:r>
      <w:r w:rsidRPr="00D64334">
        <w:rPr>
          <w:rFonts w:ascii="Cambria Math" w:eastAsia="CambriaMath" w:hAnsi="Cambria Math" w:cs="Cambria Math"/>
          <w:sz w:val="20"/>
          <w:szCs w:val="20"/>
          <w:lang w:val="es"/>
        </w:rPr>
        <w:t>𝑦</w:t>
      </w:r>
      <w:r w:rsidRPr="00D64334">
        <w:rPr>
          <w:rFonts w:ascii="Calibri" w:eastAsia="CambriaMath" w:hAnsi="Calibri"/>
          <w:sz w:val="20"/>
          <w:szCs w:val="20"/>
          <w:lang w:val="es"/>
        </w:rPr>
        <w:t>.</w:t>
      </w:r>
    </w:p>
    <w:p w14:paraId="7A69227F" w14:textId="77777777" w:rsidR="002C5594" w:rsidRPr="00D64334" w:rsidRDefault="002C5594" w:rsidP="00680C40">
      <w:pPr>
        <w:autoSpaceDE w:val="0"/>
        <w:autoSpaceDN w:val="0"/>
        <w:adjustRightInd w:val="0"/>
        <w:spacing w:after="0" w:line="240" w:lineRule="auto"/>
        <w:rPr>
          <w:rFonts w:ascii="Calibri" w:hAnsi="Calibri" w:cs="Calibri"/>
          <w:sz w:val="20"/>
          <w:szCs w:val="20"/>
          <w:lang w:val="es-US"/>
        </w:rPr>
      </w:pPr>
    </w:p>
    <w:p w14:paraId="0C979253" w14:textId="57D751C7" w:rsidR="00680C40" w:rsidRPr="00D64334" w:rsidRDefault="00680C40" w:rsidP="00680C40">
      <w:pPr>
        <w:autoSpaceDE w:val="0"/>
        <w:autoSpaceDN w:val="0"/>
        <w:adjustRightInd w:val="0"/>
        <w:spacing w:after="0" w:line="240" w:lineRule="auto"/>
        <w:rPr>
          <w:rFonts w:ascii="Calibri" w:hAnsi="Calibri" w:cs="Calibri"/>
          <w:sz w:val="20"/>
          <w:szCs w:val="20"/>
          <w:lang w:val="es-US"/>
        </w:rPr>
      </w:pPr>
      <w:r w:rsidRPr="00D64334">
        <w:rPr>
          <w:rFonts w:ascii="Calibri" w:hAnsi="Calibri"/>
          <w:sz w:val="20"/>
          <w:szCs w:val="20"/>
          <w:lang w:val="es"/>
        </w:rPr>
        <w:t xml:space="preserve">La región </w:t>
      </w:r>
      <w:r w:rsidRPr="00D64334">
        <w:rPr>
          <w:rFonts w:ascii="Cambria Math" w:hAnsi="Cambria Math" w:cs="Cambria Math"/>
          <w:sz w:val="20"/>
          <w:szCs w:val="20"/>
          <w:lang w:val="es"/>
        </w:rPr>
        <w:t>𝑆</w:t>
      </w:r>
      <w:r w:rsidRPr="00D64334">
        <w:rPr>
          <w:rFonts w:ascii="CambriaMath"/>
          <w:sz w:val="20"/>
          <w:szCs w:val="20"/>
          <w:lang w:val="es"/>
        </w:rPr>
        <w:t xml:space="preserve"> </w:t>
      </w:r>
      <w:r w:rsidRPr="00D64334">
        <w:rPr>
          <w:rFonts w:ascii="Calibri" w:hAnsi="Calibri"/>
          <w:sz w:val="20"/>
          <w:szCs w:val="20"/>
          <w:lang w:val="es"/>
        </w:rPr>
        <w:t xml:space="preserve">es el área delimitada por la ecuación </w:t>
      </w:r>
      <m:oMath>
        <m:r>
          <w:rPr>
            <w:rFonts w:ascii="Cambria Math" w:hAnsi="Cambria Math" w:cs="Calibri"/>
            <w:sz w:val="20"/>
            <w:szCs w:val="20"/>
          </w:rPr>
          <m:t>y</m:t>
        </m:r>
        <m:r>
          <w:rPr>
            <w:rFonts w:ascii="Cambria Math" w:hAnsi="Cambria Math" w:cs="Calibri"/>
            <w:sz w:val="20"/>
            <w:szCs w:val="20"/>
            <w:lang w:val="es-US"/>
          </w:rPr>
          <m:t>=</m:t>
        </m:r>
        <m:sSup>
          <m:sSupPr>
            <m:ctrlPr>
              <w:rPr>
                <w:rFonts w:ascii="Cambria Math" w:hAnsi="Cambria Math" w:cs="Calibri"/>
                <w:i/>
                <w:sz w:val="20"/>
                <w:szCs w:val="20"/>
              </w:rPr>
            </m:ctrlPr>
          </m:sSupPr>
          <m:e>
            <m:r>
              <w:rPr>
                <w:rFonts w:ascii="Cambria Math" w:hAnsi="Cambria Math" w:cs="Calibri"/>
                <w:sz w:val="20"/>
                <w:szCs w:val="20"/>
              </w:rPr>
              <m:t>x</m:t>
            </m:r>
          </m:e>
          <m:sup>
            <m:r>
              <w:rPr>
                <w:rFonts w:ascii="Cambria Math" w:hAnsi="Cambria Math" w:cs="Calibri"/>
                <w:sz w:val="20"/>
                <w:szCs w:val="20"/>
                <w:lang w:val="es-US"/>
              </w:rPr>
              <m:t>2</m:t>
            </m:r>
          </m:sup>
        </m:sSup>
        <m:r>
          <w:rPr>
            <w:rFonts w:ascii="Cambria Math" w:hAnsi="Cambria Math" w:cs="Calibri"/>
            <w:sz w:val="20"/>
            <w:szCs w:val="20"/>
            <w:lang w:val="es-US"/>
          </w:rPr>
          <m:t xml:space="preserve"> </m:t>
        </m:r>
      </m:oMath>
      <w:r w:rsidRPr="00D64334">
        <w:rPr>
          <w:rFonts w:ascii="Calibri" w:hAnsi="Calibri"/>
          <w:sz w:val="20"/>
          <w:szCs w:val="20"/>
          <w:lang w:val="es"/>
        </w:rPr>
        <w:t xml:space="preserve">y la recta </w:t>
      </w:r>
      <m:oMath>
        <m:r>
          <w:rPr>
            <w:rFonts w:ascii="Cambria Math" w:hAnsi="Cambria Math" w:cs="Calibri"/>
            <w:sz w:val="20"/>
            <w:szCs w:val="20"/>
          </w:rPr>
          <m:t>y</m:t>
        </m:r>
        <m:r>
          <w:rPr>
            <w:rFonts w:ascii="Cambria Math" w:hAnsi="Cambria Math" w:cs="Calibri"/>
            <w:sz w:val="20"/>
            <w:szCs w:val="20"/>
            <w:lang w:val="es-US"/>
          </w:rPr>
          <m:t>=9</m:t>
        </m:r>
      </m:oMath>
      <w:r w:rsidRPr="00D64334">
        <w:rPr>
          <w:rFonts w:ascii="Calibri" w:hAnsi="Calibri"/>
          <w:sz w:val="20"/>
          <w:szCs w:val="20"/>
          <w:lang w:val="es"/>
        </w:rPr>
        <w:t>. Las bases de las secciones transversales</w:t>
      </w:r>
    </w:p>
    <w:p w14:paraId="2DD54023" w14:textId="392F879F" w:rsidR="00680C40" w:rsidRPr="00D64334" w:rsidRDefault="00680C40" w:rsidP="00680C40">
      <w:pPr>
        <w:autoSpaceDE w:val="0"/>
        <w:autoSpaceDN w:val="0"/>
        <w:adjustRightInd w:val="0"/>
        <w:spacing w:after="0" w:line="240" w:lineRule="auto"/>
        <w:rPr>
          <w:rFonts w:ascii="Calibri" w:hAnsi="Calibri" w:cs="Calibri"/>
          <w:sz w:val="20"/>
          <w:szCs w:val="20"/>
          <w:lang w:val="es-US"/>
        </w:rPr>
      </w:pPr>
      <w:r w:rsidRPr="00D64334">
        <w:rPr>
          <w:rFonts w:ascii="Calibri" w:hAnsi="Calibri" w:cs="Cambria Math"/>
          <w:sz w:val="20"/>
          <w:szCs w:val="20"/>
          <w:lang w:val="es"/>
        </w:rPr>
        <w:t xml:space="preserve">son perpendiculares al eje </w:t>
      </w:r>
      <w:r w:rsidRPr="00D64334">
        <w:rPr>
          <w:rFonts w:ascii="Cambria Math" w:hAnsi="Cambria Math" w:cs="Cambria Math"/>
          <w:sz w:val="20"/>
          <w:szCs w:val="20"/>
          <w:lang w:val="es"/>
        </w:rPr>
        <w:t>𝑦</w:t>
      </w:r>
      <w:r w:rsidRPr="00D64334">
        <w:rPr>
          <w:rFonts w:ascii="Calibri" w:hAnsi="Calibri" w:cs="Cambria Math"/>
          <w:sz w:val="20"/>
          <w:szCs w:val="20"/>
          <w:lang w:val="es"/>
        </w:rPr>
        <w:t>.</w:t>
      </w:r>
    </w:p>
    <w:p w14:paraId="4CA716FA" w14:textId="77777777" w:rsidR="002C5594" w:rsidRPr="00D64334" w:rsidRDefault="002C5594" w:rsidP="00680C40">
      <w:pPr>
        <w:autoSpaceDE w:val="0"/>
        <w:autoSpaceDN w:val="0"/>
        <w:adjustRightInd w:val="0"/>
        <w:spacing w:after="0" w:line="240" w:lineRule="auto"/>
        <w:rPr>
          <w:rFonts w:ascii="Calibri" w:hAnsi="Calibri" w:cs="Calibri"/>
          <w:sz w:val="20"/>
          <w:szCs w:val="20"/>
          <w:lang w:val="es-US"/>
        </w:rPr>
      </w:pPr>
    </w:p>
    <w:p w14:paraId="744773C4" w14:textId="0F5C1A3E" w:rsidR="002C5594" w:rsidRPr="00D64334" w:rsidRDefault="00680C40" w:rsidP="00680C40">
      <w:pPr>
        <w:autoSpaceDE w:val="0"/>
        <w:autoSpaceDN w:val="0"/>
        <w:adjustRightInd w:val="0"/>
        <w:spacing w:after="0" w:line="240" w:lineRule="auto"/>
        <w:rPr>
          <w:rFonts w:ascii="Calibri" w:hAnsi="Calibri" w:cs="Calibri"/>
          <w:sz w:val="20"/>
          <w:szCs w:val="20"/>
          <w:lang w:val="es-US"/>
        </w:rPr>
      </w:pPr>
      <w:r w:rsidRPr="00D64334">
        <w:rPr>
          <w:rFonts w:ascii="Calibri" w:hAnsi="Calibri"/>
          <w:sz w:val="20"/>
          <w:szCs w:val="20"/>
          <w:lang w:val="es"/>
        </w:rPr>
        <w:t xml:space="preserve">La región </w:t>
      </w:r>
      <w:r w:rsidRPr="00D64334">
        <w:rPr>
          <w:rFonts w:ascii="Cambria Math" w:hAnsi="Cambria Math" w:cs="Cambria Math"/>
          <w:sz w:val="20"/>
          <w:szCs w:val="20"/>
          <w:lang w:val="es"/>
        </w:rPr>
        <w:t>𝑇</w:t>
      </w:r>
      <w:r w:rsidRPr="00D64334">
        <w:rPr>
          <w:rFonts w:ascii="CambriaMath"/>
          <w:sz w:val="20"/>
          <w:szCs w:val="20"/>
          <w:lang w:val="es"/>
        </w:rPr>
        <w:t xml:space="preserve"> </w:t>
      </w:r>
      <w:r w:rsidRPr="00D64334">
        <w:rPr>
          <w:rFonts w:ascii="Calibri" w:hAnsi="Calibri"/>
          <w:sz w:val="20"/>
          <w:szCs w:val="20"/>
          <w:lang w:val="es"/>
        </w:rPr>
        <w:t xml:space="preserve">es el área delimitada por la ecuación </w:t>
      </w:r>
      <m:oMath>
        <m:r>
          <w:rPr>
            <w:rFonts w:ascii="Cambria Math" w:hAnsi="Cambria Math" w:cs="Calibri"/>
            <w:sz w:val="20"/>
            <w:szCs w:val="20"/>
          </w:rPr>
          <m:t>y</m:t>
        </m:r>
        <m:r>
          <w:rPr>
            <w:rFonts w:ascii="Cambria Math" w:hAnsi="Cambria Math" w:cs="Calibri"/>
            <w:sz w:val="20"/>
            <w:szCs w:val="20"/>
            <w:lang w:val="es-US"/>
          </w:rPr>
          <m:t>=</m:t>
        </m:r>
        <m:sSup>
          <m:sSupPr>
            <m:ctrlPr>
              <w:rPr>
                <w:rFonts w:ascii="Cambria Math" w:hAnsi="Cambria Math" w:cs="Calibri"/>
                <w:i/>
                <w:sz w:val="20"/>
                <w:szCs w:val="20"/>
              </w:rPr>
            </m:ctrlPr>
          </m:sSupPr>
          <m:e>
            <m:r>
              <w:rPr>
                <w:rFonts w:ascii="Cambria Math" w:hAnsi="Cambria Math" w:cs="Calibri"/>
                <w:sz w:val="20"/>
                <w:szCs w:val="20"/>
              </w:rPr>
              <m:t>x</m:t>
            </m:r>
          </m:e>
          <m:sup>
            <m:r>
              <w:rPr>
                <w:rFonts w:ascii="Cambria Math" w:hAnsi="Cambria Math" w:cs="Calibri"/>
                <w:sz w:val="20"/>
                <w:szCs w:val="20"/>
                <w:lang w:val="es-US"/>
              </w:rPr>
              <m:t>2</m:t>
            </m:r>
          </m:sup>
        </m:sSup>
      </m:oMath>
      <w:r w:rsidRPr="00D64334">
        <w:rPr>
          <w:rFonts w:ascii="CambriaMath"/>
          <w:sz w:val="20"/>
          <w:szCs w:val="20"/>
          <w:lang w:val="es"/>
        </w:rPr>
        <w:t xml:space="preserve">, </w:t>
      </w:r>
      <w:r w:rsidRPr="00D64334">
        <w:rPr>
          <w:rFonts w:ascii="Calibri" w:hAnsi="Calibri"/>
          <w:sz w:val="20"/>
          <w:szCs w:val="20"/>
          <w:lang w:val="es"/>
        </w:rPr>
        <w:t xml:space="preserve">el eje </w:t>
      </w:r>
      <w:r w:rsidRPr="00D64334">
        <w:rPr>
          <w:rFonts w:ascii="Cambria Math" w:hAnsi="Cambria Math" w:cs="Cambria Math"/>
          <w:sz w:val="20"/>
          <w:szCs w:val="20"/>
          <w:lang w:val="es"/>
        </w:rPr>
        <w:t>𝑥</w:t>
      </w:r>
      <w:r w:rsidRPr="00D64334">
        <w:rPr>
          <w:rFonts w:ascii="Calibri" w:hAnsi="Calibri"/>
          <w:sz w:val="20"/>
          <w:szCs w:val="20"/>
          <w:lang w:val="es"/>
        </w:rPr>
        <w:t xml:space="preserve">y la línea </w:t>
      </w:r>
      <m:oMath>
        <m:r>
          <w:rPr>
            <w:rFonts w:ascii="Cambria Math" w:hAnsi="Cambria Math" w:cs="Calibri"/>
            <w:sz w:val="20"/>
            <w:szCs w:val="20"/>
          </w:rPr>
          <m:t>x</m:t>
        </m:r>
        <m:r>
          <w:rPr>
            <w:rFonts w:ascii="Cambria Math" w:hAnsi="Cambria Math" w:cs="Calibri"/>
            <w:sz w:val="20"/>
            <w:szCs w:val="20"/>
            <w:lang w:val="es-US"/>
          </w:rPr>
          <m:t>=4</m:t>
        </m:r>
      </m:oMath>
      <w:r w:rsidRPr="00D64334">
        <w:rPr>
          <w:rFonts w:ascii="Calibri" w:hAnsi="Calibri"/>
          <w:sz w:val="20"/>
          <w:szCs w:val="20"/>
          <w:lang w:val="es"/>
        </w:rPr>
        <w:t xml:space="preserve">. Las bases de las secciones transversales son perpendiculares al eje </w:t>
      </w:r>
      <w:r w:rsidRPr="00D64334">
        <w:rPr>
          <w:rFonts w:ascii="Cambria Math" w:hAnsi="Cambria Math" w:cs="Cambria Math"/>
          <w:sz w:val="20"/>
          <w:szCs w:val="20"/>
          <w:lang w:val="es"/>
        </w:rPr>
        <w:t>𝑥</w:t>
      </w:r>
      <w:r w:rsidRPr="00D64334">
        <w:rPr>
          <w:rFonts w:ascii="Calibri" w:hAnsi="Calibri"/>
          <w:sz w:val="20"/>
          <w:szCs w:val="20"/>
          <w:lang w:val="es"/>
        </w:rPr>
        <w:t>.</w:t>
      </w:r>
    </w:p>
    <w:p w14:paraId="19E674C6" w14:textId="77777777" w:rsidR="002C5594" w:rsidRPr="00D64334" w:rsidRDefault="002C5594" w:rsidP="00680C40">
      <w:pPr>
        <w:autoSpaceDE w:val="0"/>
        <w:autoSpaceDN w:val="0"/>
        <w:adjustRightInd w:val="0"/>
        <w:spacing w:after="0" w:line="240" w:lineRule="auto"/>
        <w:rPr>
          <w:rFonts w:ascii="Calibri" w:hAnsi="Calibri" w:cs="Calibri"/>
          <w:sz w:val="20"/>
          <w:szCs w:val="20"/>
          <w:lang w:val="es-US"/>
        </w:rPr>
      </w:pPr>
    </w:p>
    <w:p w14:paraId="1D5149D5" w14:textId="74311458" w:rsidR="00680C40" w:rsidRPr="00D64334" w:rsidRDefault="00680C40" w:rsidP="00680C40">
      <w:pPr>
        <w:autoSpaceDE w:val="0"/>
        <w:autoSpaceDN w:val="0"/>
        <w:adjustRightInd w:val="0"/>
        <w:spacing w:after="0" w:line="240" w:lineRule="auto"/>
        <w:rPr>
          <w:rFonts w:ascii="Calibri" w:hAnsi="Calibri" w:cs="Calibri"/>
          <w:sz w:val="20"/>
          <w:szCs w:val="20"/>
          <w:lang w:val="es-US"/>
        </w:rPr>
      </w:pPr>
      <w:r w:rsidRPr="00D64334">
        <w:rPr>
          <w:rFonts w:ascii="Calibri" w:hAnsi="Calibri" w:cs="Calibri"/>
          <w:sz w:val="20"/>
          <w:szCs w:val="20"/>
          <w:lang w:val="es"/>
        </w:rPr>
        <w:t>Determina el volumen de los sólidos formados por las bases dadas anteriormente y las secciones transversales indicadas en</w:t>
      </w:r>
    </w:p>
    <w:p w14:paraId="41D43C94" w14:textId="0624D28F" w:rsidR="008B7E82" w:rsidRPr="00D64334" w:rsidRDefault="00680C40" w:rsidP="008B7E82">
      <w:pPr>
        <w:autoSpaceDE w:val="0"/>
        <w:autoSpaceDN w:val="0"/>
        <w:adjustRightInd w:val="0"/>
        <w:spacing w:line="240" w:lineRule="auto"/>
        <w:rPr>
          <w:rFonts w:ascii="Calibri" w:hAnsi="Calibri" w:cs="Calibri"/>
          <w:sz w:val="20"/>
          <w:szCs w:val="20"/>
        </w:rPr>
      </w:pPr>
      <w:r w:rsidRPr="00D64334">
        <w:rPr>
          <w:rFonts w:ascii="Calibri" w:hAnsi="Calibri" w:cs="Calibri"/>
          <w:sz w:val="20"/>
          <w:szCs w:val="20"/>
          <w:lang w:val="es"/>
        </w:rPr>
        <w:t>la tabla siguiente.</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43" w:type="dxa"/>
          <w:left w:w="115" w:type="dxa"/>
          <w:bottom w:w="43" w:type="dxa"/>
          <w:right w:w="115" w:type="dxa"/>
        </w:tblCellMar>
        <w:tblLook w:val="04A0" w:firstRow="1" w:lastRow="0" w:firstColumn="1" w:lastColumn="0" w:noHBand="0" w:noVBand="1"/>
      </w:tblPr>
      <w:tblGrid>
        <w:gridCol w:w="2404"/>
        <w:gridCol w:w="2387"/>
        <w:gridCol w:w="2387"/>
        <w:gridCol w:w="2162"/>
      </w:tblGrid>
      <w:tr w:rsidR="002C5594" w14:paraId="23430466" w14:textId="5CC36C6B" w:rsidTr="00B90CD6">
        <w:trPr>
          <w:cantSplit/>
          <w:trHeight w:val="360"/>
          <w:tblHeader/>
        </w:trPr>
        <w:tc>
          <w:tcPr>
            <w:tcW w:w="2404" w:type="dxa"/>
            <w:shd w:val="clear" w:color="auto" w:fill="3E5C61" w:themeFill="accent2"/>
          </w:tcPr>
          <w:p w14:paraId="1753D0E9" w14:textId="01C00825" w:rsidR="002C5594" w:rsidRPr="00D64334" w:rsidRDefault="00CE336D" w:rsidP="0053328A">
            <w:pPr>
              <w:pStyle w:val="TableColumnHeaders"/>
              <w:rPr>
                <w:sz w:val="22"/>
                <w:szCs w:val="20"/>
              </w:rPr>
            </w:pPr>
            <w:r w:rsidRPr="00D64334">
              <w:rPr>
                <w:bCs/>
                <w:sz w:val="22"/>
                <w:szCs w:val="20"/>
                <w:lang w:val="es"/>
              </w:rPr>
              <w:t xml:space="preserve"> Sección transversal</w:t>
            </w:r>
          </w:p>
        </w:tc>
        <w:tc>
          <w:tcPr>
            <w:tcW w:w="2387" w:type="dxa"/>
            <w:shd w:val="clear" w:color="auto" w:fill="3E5C61" w:themeFill="accent2"/>
          </w:tcPr>
          <w:p w14:paraId="058243EE" w14:textId="04A2B8D9" w:rsidR="002C5594" w:rsidRPr="00D64334" w:rsidRDefault="002C5594" w:rsidP="0053328A">
            <w:pPr>
              <w:pStyle w:val="TableColumnHeaders"/>
              <w:rPr>
                <w:sz w:val="22"/>
                <w:szCs w:val="20"/>
              </w:rPr>
            </w:pPr>
            <w:r w:rsidRPr="00D64334">
              <w:rPr>
                <w:bCs/>
                <w:sz w:val="22"/>
                <w:szCs w:val="20"/>
                <w:lang w:val="es"/>
              </w:rPr>
              <w:t xml:space="preserve">Región </w:t>
            </w:r>
            <w:r w:rsidRPr="00D64334">
              <w:rPr>
                <w:rFonts w:ascii="Cambria Math" w:hAnsi="Cambria Math"/>
                <w:bCs/>
                <w:i/>
                <w:iCs/>
                <w:sz w:val="22"/>
                <w:szCs w:val="20"/>
                <w:lang w:val="es"/>
              </w:rPr>
              <w:t>R</w:t>
            </w:r>
          </w:p>
        </w:tc>
        <w:tc>
          <w:tcPr>
            <w:tcW w:w="2387" w:type="dxa"/>
            <w:shd w:val="clear" w:color="auto" w:fill="3E5C61" w:themeFill="accent2"/>
          </w:tcPr>
          <w:p w14:paraId="7174A74C" w14:textId="4F034B6F" w:rsidR="002C5594" w:rsidRPr="00D64334" w:rsidRDefault="002C5594" w:rsidP="0053328A">
            <w:pPr>
              <w:pStyle w:val="TableColumnHeaders"/>
              <w:rPr>
                <w:sz w:val="22"/>
                <w:szCs w:val="20"/>
              </w:rPr>
            </w:pPr>
            <w:r w:rsidRPr="00D64334">
              <w:rPr>
                <w:bCs/>
                <w:sz w:val="22"/>
                <w:szCs w:val="20"/>
                <w:lang w:val="es"/>
              </w:rPr>
              <w:t xml:space="preserve">Región </w:t>
            </w:r>
            <w:r w:rsidRPr="00D64334">
              <w:rPr>
                <w:rFonts w:ascii="Cambria Math" w:hAnsi="Cambria Math"/>
                <w:bCs/>
                <w:i/>
                <w:iCs/>
                <w:sz w:val="22"/>
                <w:szCs w:val="20"/>
                <w:lang w:val="es"/>
              </w:rPr>
              <w:t>S</w:t>
            </w:r>
          </w:p>
        </w:tc>
        <w:tc>
          <w:tcPr>
            <w:tcW w:w="2162" w:type="dxa"/>
            <w:shd w:val="clear" w:color="auto" w:fill="3E5C61" w:themeFill="accent2"/>
          </w:tcPr>
          <w:p w14:paraId="502320CF" w14:textId="109BDA0B" w:rsidR="002C5594" w:rsidRPr="00D64334" w:rsidRDefault="002C5594" w:rsidP="0053328A">
            <w:pPr>
              <w:pStyle w:val="TableColumnHeaders"/>
              <w:rPr>
                <w:sz w:val="22"/>
                <w:szCs w:val="20"/>
              </w:rPr>
            </w:pPr>
            <w:r w:rsidRPr="00D64334">
              <w:rPr>
                <w:bCs/>
                <w:sz w:val="22"/>
                <w:szCs w:val="20"/>
                <w:lang w:val="es"/>
              </w:rPr>
              <w:t xml:space="preserve">Región </w:t>
            </w:r>
            <w:r w:rsidRPr="00D64334">
              <w:rPr>
                <w:rFonts w:ascii="Cambria Math" w:hAnsi="Cambria Math"/>
                <w:bCs/>
                <w:i/>
                <w:iCs/>
                <w:sz w:val="22"/>
                <w:szCs w:val="20"/>
                <w:lang w:val="es"/>
              </w:rPr>
              <w:t>T</w:t>
            </w:r>
          </w:p>
        </w:tc>
      </w:tr>
      <w:tr w:rsidR="002C5594" w14:paraId="0DB42639" w14:textId="6EAE7A2A" w:rsidTr="008B7E82">
        <w:trPr>
          <w:trHeight w:val="706"/>
        </w:trPr>
        <w:tc>
          <w:tcPr>
            <w:tcW w:w="2404" w:type="dxa"/>
          </w:tcPr>
          <w:p w14:paraId="3061DA8A" w14:textId="77777777" w:rsidR="002C5594" w:rsidRPr="00D64334" w:rsidRDefault="002C5594" w:rsidP="008B7E82">
            <w:pPr>
              <w:pStyle w:val="Heading1"/>
              <w:spacing w:before="0" w:after="0" w:line="276" w:lineRule="auto"/>
              <w:outlineLvl w:val="0"/>
              <w:rPr>
                <w:sz w:val="22"/>
                <w:szCs w:val="20"/>
              </w:rPr>
            </w:pPr>
            <w:r w:rsidRPr="00D64334">
              <w:rPr>
                <w:bCs/>
                <w:sz w:val="22"/>
                <w:szCs w:val="20"/>
                <w:lang w:val="es"/>
              </w:rPr>
              <w:t>Cuadrados</w:t>
            </w:r>
          </w:p>
          <w:p w14:paraId="5D0C8536" w14:textId="45AB96B6" w:rsidR="002C5594" w:rsidRPr="00D64334" w:rsidRDefault="002C5594" w:rsidP="008B7E82">
            <w:pPr>
              <w:spacing w:after="0"/>
              <w:rPr>
                <w:sz w:val="22"/>
                <w:szCs w:val="20"/>
              </w:rPr>
            </w:pPr>
            <w:r w:rsidRPr="00D64334">
              <w:rPr>
                <w:sz w:val="22"/>
                <w:szCs w:val="20"/>
                <w:lang w:val="es"/>
              </w:rPr>
              <w:t xml:space="preserve">(Fórmula: </w:t>
            </w:r>
            <m:oMath>
              <m:r>
                <w:rPr>
                  <w:rFonts w:ascii="Cambria Math" w:hAnsi="Cambria Math"/>
                  <w:sz w:val="22"/>
                  <w:szCs w:val="20"/>
                </w:rPr>
                <m:t>A=</m:t>
              </m:r>
            </m:oMath>
            <w:r w:rsidRPr="00D64334">
              <w:rPr>
                <w:sz w:val="22"/>
                <w:szCs w:val="20"/>
                <w:lang w:val="es"/>
              </w:rPr>
              <w:t xml:space="preserve">          </w:t>
            </w:r>
            <w:proofErr w:type="gramStart"/>
            <w:r w:rsidRPr="00D64334">
              <w:rPr>
                <w:sz w:val="22"/>
                <w:szCs w:val="20"/>
                <w:lang w:val="es"/>
              </w:rPr>
              <w:t xml:space="preserve">  )</w:t>
            </w:r>
            <w:proofErr w:type="gramEnd"/>
          </w:p>
        </w:tc>
        <w:tc>
          <w:tcPr>
            <w:tcW w:w="2387" w:type="dxa"/>
          </w:tcPr>
          <w:p w14:paraId="445F3F62" w14:textId="77777777" w:rsidR="002C5594" w:rsidRPr="00D64334" w:rsidRDefault="002C5594" w:rsidP="008B7E82">
            <w:pPr>
              <w:spacing w:after="0"/>
              <w:rPr>
                <w:sz w:val="22"/>
                <w:szCs w:val="20"/>
              </w:rPr>
            </w:pPr>
          </w:p>
        </w:tc>
        <w:tc>
          <w:tcPr>
            <w:tcW w:w="2387" w:type="dxa"/>
          </w:tcPr>
          <w:p w14:paraId="150F797B" w14:textId="77777777" w:rsidR="002C5594" w:rsidRPr="00D64334" w:rsidRDefault="002C5594" w:rsidP="008B7E82">
            <w:pPr>
              <w:spacing w:after="0"/>
              <w:rPr>
                <w:sz w:val="22"/>
                <w:szCs w:val="20"/>
              </w:rPr>
            </w:pPr>
          </w:p>
        </w:tc>
        <w:tc>
          <w:tcPr>
            <w:tcW w:w="2162" w:type="dxa"/>
          </w:tcPr>
          <w:p w14:paraId="36919CB6" w14:textId="77777777" w:rsidR="002C5594" w:rsidRPr="00D64334" w:rsidRDefault="002C5594" w:rsidP="008B7E82">
            <w:pPr>
              <w:spacing w:after="0"/>
              <w:rPr>
                <w:sz w:val="22"/>
                <w:szCs w:val="20"/>
              </w:rPr>
            </w:pPr>
          </w:p>
        </w:tc>
      </w:tr>
      <w:tr w:rsidR="002C5594" w14:paraId="4B95CF57" w14:textId="0B35CAE9" w:rsidTr="008B7E82">
        <w:trPr>
          <w:trHeight w:val="706"/>
        </w:trPr>
        <w:tc>
          <w:tcPr>
            <w:tcW w:w="2404" w:type="dxa"/>
          </w:tcPr>
          <w:p w14:paraId="35F9ECE7" w14:textId="013C40CE" w:rsidR="002C5594" w:rsidRPr="00D64334" w:rsidRDefault="002C5594" w:rsidP="008B7E82">
            <w:pPr>
              <w:pStyle w:val="Heading1"/>
              <w:spacing w:before="0" w:after="0" w:line="276" w:lineRule="auto"/>
              <w:outlineLvl w:val="0"/>
              <w:rPr>
                <w:sz w:val="22"/>
                <w:szCs w:val="20"/>
              </w:rPr>
            </w:pPr>
            <w:r w:rsidRPr="00D64334">
              <w:rPr>
                <w:bCs/>
                <w:sz w:val="22"/>
                <w:szCs w:val="20"/>
                <w:lang w:val="es"/>
              </w:rPr>
              <w:t>Semicírculos</w:t>
            </w:r>
          </w:p>
          <w:p w14:paraId="532B1792" w14:textId="03E83D80" w:rsidR="002C5594" w:rsidRPr="00D64334" w:rsidRDefault="002C5594" w:rsidP="008B7E82">
            <w:pPr>
              <w:spacing w:after="0"/>
              <w:rPr>
                <w:sz w:val="22"/>
                <w:szCs w:val="20"/>
              </w:rPr>
            </w:pPr>
            <w:r w:rsidRPr="00D64334">
              <w:rPr>
                <w:sz w:val="22"/>
                <w:szCs w:val="20"/>
                <w:lang w:val="es"/>
              </w:rPr>
              <w:t xml:space="preserve">(Fórmula: </w:t>
            </w:r>
            <m:oMath>
              <m:r>
                <w:rPr>
                  <w:rFonts w:ascii="Cambria Math" w:hAnsi="Cambria Math"/>
                  <w:sz w:val="22"/>
                  <w:szCs w:val="20"/>
                </w:rPr>
                <m:t>A=</m:t>
              </m:r>
            </m:oMath>
            <w:r w:rsidRPr="00D64334">
              <w:rPr>
                <w:sz w:val="22"/>
                <w:szCs w:val="20"/>
                <w:lang w:val="es"/>
              </w:rPr>
              <w:t xml:space="preserve">         </w:t>
            </w:r>
            <w:proofErr w:type="gramStart"/>
            <w:r w:rsidRPr="00D64334">
              <w:rPr>
                <w:sz w:val="22"/>
                <w:szCs w:val="20"/>
                <w:lang w:val="es"/>
              </w:rPr>
              <w:t xml:space="preserve">  )</w:t>
            </w:r>
            <w:proofErr w:type="gramEnd"/>
          </w:p>
        </w:tc>
        <w:tc>
          <w:tcPr>
            <w:tcW w:w="2387" w:type="dxa"/>
          </w:tcPr>
          <w:p w14:paraId="37342517" w14:textId="77777777" w:rsidR="002C5594" w:rsidRPr="00D64334" w:rsidRDefault="002C5594" w:rsidP="008B7E82">
            <w:pPr>
              <w:spacing w:after="0"/>
              <w:rPr>
                <w:sz w:val="22"/>
                <w:szCs w:val="20"/>
              </w:rPr>
            </w:pPr>
          </w:p>
        </w:tc>
        <w:tc>
          <w:tcPr>
            <w:tcW w:w="2387" w:type="dxa"/>
          </w:tcPr>
          <w:p w14:paraId="667FB028" w14:textId="77777777" w:rsidR="002C5594" w:rsidRPr="00D64334" w:rsidRDefault="002C5594" w:rsidP="008B7E82">
            <w:pPr>
              <w:spacing w:after="0"/>
              <w:rPr>
                <w:sz w:val="22"/>
                <w:szCs w:val="20"/>
              </w:rPr>
            </w:pPr>
          </w:p>
        </w:tc>
        <w:tc>
          <w:tcPr>
            <w:tcW w:w="2162" w:type="dxa"/>
          </w:tcPr>
          <w:p w14:paraId="29B6097D" w14:textId="77777777" w:rsidR="002C5594" w:rsidRPr="00D64334" w:rsidRDefault="002C5594" w:rsidP="008B7E82">
            <w:pPr>
              <w:spacing w:after="0"/>
              <w:rPr>
                <w:sz w:val="22"/>
                <w:szCs w:val="20"/>
              </w:rPr>
            </w:pPr>
          </w:p>
        </w:tc>
      </w:tr>
      <w:tr w:rsidR="002C5594" w14:paraId="459C45C7" w14:textId="77777777" w:rsidTr="008B7E82">
        <w:trPr>
          <w:trHeight w:val="706"/>
        </w:trPr>
        <w:tc>
          <w:tcPr>
            <w:tcW w:w="2404" w:type="dxa"/>
          </w:tcPr>
          <w:p w14:paraId="3CFAB868" w14:textId="77777777" w:rsidR="002C5594" w:rsidRPr="00D64334" w:rsidRDefault="002C5594" w:rsidP="008B7E82">
            <w:pPr>
              <w:pStyle w:val="Heading1"/>
              <w:spacing w:before="0" w:after="0" w:line="276" w:lineRule="auto"/>
              <w:outlineLvl w:val="0"/>
              <w:rPr>
                <w:sz w:val="22"/>
                <w:szCs w:val="20"/>
              </w:rPr>
            </w:pPr>
            <w:r w:rsidRPr="00D64334">
              <w:rPr>
                <w:bCs/>
                <w:sz w:val="22"/>
                <w:szCs w:val="20"/>
                <w:lang w:val="es"/>
              </w:rPr>
              <w:t>Triángulos equiláteros</w:t>
            </w:r>
          </w:p>
          <w:p w14:paraId="170018E3" w14:textId="3ACA47C7" w:rsidR="002C5594" w:rsidRPr="00D64334" w:rsidRDefault="002C5594" w:rsidP="008B7E82">
            <w:pPr>
              <w:spacing w:after="0"/>
              <w:rPr>
                <w:sz w:val="22"/>
                <w:szCs w:val="20"/>
              </w:rPr>
            </w:pPr>
            <w:r w:rsidRPr="00D64334">
              <w:rPr>
                <w:sz w:val="22"/>
                <w:szCs w:val="20"/>
                <w:lang w:val="es"/>
              </w:rPr>
              <w:t xml:space="preserve">(Fórmula: </w:t>
            </w:r>
            <m:oMath>
              <m:r>
                <w:rPr>
                  <w:rFonts w:ascii="Cambria Math" w:hAnsi="Cambria Math"/>
                  <w:sz w:val="22"/>
                  <w:szCs w:val="20"/>
                </w:rPr>
                <m:t>A=</m:t>
              </m:r>
            </m:oMath>
            <w:r w:rsidRPr="00D64334">
              <w:rPr>
                <w:sz w:val="22"/>
                <w:szCs w:val="20"/>
                <w:lang w:val="es"/>
              </w:rPr>
              <w:t xml:space="preserve">         </w:t>
            </w:r>
            <w:proofErr w:type="gramStart"/>
            <w:r w:rsidRPr="00D64334">
              <w:rPr>
                <w:sz w:val="22"/>
                <w:szCs w:val="20"/>
                <w:lang w:val="es"/>
              </w:rPr>
              <w:t xml:space="preserve">  )</w:t>
            </w:r>
            <w:proofErr w:type="gramEnd"/>
          </w:p>
        </w:tc>
        <w:tc>
          <w:tcPr>
            <w:tcW w:w="2387" w:type="dxa"/>
          </w:tcPr>
          <w:p w14:paraId="79C776D5" w14:textId="77777777" w:rsidR="002C5594" w:rsidRPr="00D64334" w:rsidRDefault="002C5594" w:rsidP="008B7E82">
            <w:pPr>
              <w:spacing w:after="0"/>
              <w:rPr>
                <w:sz w:val="22"/>
                <w:szCs w:val="20"/>
              </w:rPr>
            </w:pPr>
          </w:p>
        </w:tc>
        <w:tc>
          <w:tcPr>
            <w:tcW w:w="2387" w:type="dxa"/>
          </w:tcPr>
          <w:p w14:paraId="7426B652" w14:textId="77777777" w:rsidR="002C5594" w:rsidRPr="00D64334" w:rsidRDefault="002C5594" w:rsidP="008B7E82">
            <w:pPr>
              <w:spacing w:after="0"/>
              <w:rPr>
                <w:sz w:val="22"/>
                <w:szCs w:val="20"/>
              </w:rPr>
            </w:pPr>
          </w:p>
        </w:tc>
        <w:tc>
          <w:tcPr>
            <w:tcW w:w="2162" w:type="dxa"/>
          </w:tcPr>
          <w:p w14:paraId="0C2D6C31" w14:textId="77777777" w:rsidR="002C5594" w:rsidRPr="00D64334" w:rsidRDefault="002C5594" w:rsidP="008B7E82">
            <w:pPr>
              <w:spacing w:after="0"/>
              <w:rPr>
                <w:sz w:val="22"/>
                <w:szCs w:val="20"/>
              </w:rPr>
            </w:pPr>
          </w:p>
        </w:tc>
      </w:tr>
      <w:tr w:rsidR="002C5594" w:rsidRPr="00D64334" w14:paraId="4C0C5805" w14:textId="77777777" w:rsidTr="008B7E82">
        <w:trPr>
          <w:trHeight w:val="706"/>
        </w:trPr>
        <w:tc>
          <w:tcPr>
            <w:tcW w:w="2404" w:type="dxa"/>
          </w:tcPr>
          <w:p w14:paraId="19409C87" w14:textId="77777777" w:rsidR="002C5594" w:rsidRPr="00D64334" w:rsidRDefault="002C5594" w:rsidP="008B7E82">
            <w:pPr>
              <w:pStyle w:val="Heading1"/>
              <w:spacing w:before="0" w:after="0" w:line="276" w:lineRule="auto"/>
              <w:outlineLvl w:val="0"/>
              <w:rPr>
                <w:bCs/>
                <w:sz w:val="22"/>
                <w:szCs w:val="20"/>
                <w:lang w:val="es-US"/>
              </w:rPr>
            </w:pPr>
            <w:r w:rsidRPr="00D64334">
              <w:rPr>
                <w:bCs/>
                <w:sz w:val="22"/>
                <w:szCs w:val="20"/>
                <w:lang w:val="es"/>
              </w:rPr>
              <w:t xml:space="preserve">Rectángulo, </w:t>
            </w:r>
            <m:oMath>
              <m:r>
                <m:rPr>
                  <m:sty m:val="bi"/>
                </m:rPr>
                <w:rPr>
                  <w:rFonts w:ascii="Cambria Math" w:hAnsi="Cambria Math"/>
                  <w:sz w:val="22"/>
                  <w:szCs w:val="20"/>
                </w:rPr>
                <m:t>h</m:t>
              </m:r>
              <m:r>
                <m:rPr>
                  <m:sty m:val="b"/>
                </m:rPr>
                <w:rPr>
                  <w:rFonts w:ascii="Cambria Math" w:hAnsi="Cambria Math"/>
                  <w:sz w:val="22"/>
                  <w:szCs w:val="20"/>
                  <w:lang w:val="es-US"/>
                </w:rPr>
                <m:t>=</m:t>
              </m:r>
              <m:f>
                <m:fPr>
                  <m:ctrlPr>
                    <w:rPr>
                      <w:rFonts w:ascii="Cambria Math" w:hAnsi="Cambria Math"/>
                      <w:sz w:val="22"/>
                      <w:szCs w:val="20"/>
                    </w:rPr>
                  </m:ctrlPr>
                </m:fPr>
                <m:num>
                  <m:r>
                    <m:rPr>
                      <m:sty m:val="b"/>
                    </m:rPr>
                    <w:rPr>
                      <w:rFonts w:ascii="Cambria Math" w:hAnsi="Cambria Math"/>
                      <w:sz w:val="22"/>
                      <w:szCs w:val="20"/>
                    </w:rPr>
                    <m:t>1</m:t>
                  </m:r>
                </m:num>
                <m:den>
                  <m:r>
                    <m:rPr>
                      <m:sty m:val="b"/>
                    </m:rPr>
                    <w:rPr>
                      <w:rFonts w:ascii="Cambria Math" w:hAnsi="Cambria Math"/>
                      <w:sz w:val="22"/>
                      <w:szCs w:val="20"/>
                    </w:rPr>
                    <m:t>2</m:t>
                  </m:r>
                </m:den>
              </m:f>
              <m:r>
                <m:rPr>
                  <m:sty m:val="bi"/>
                </m:rPr>
                <w:rPr>
                  <w:rFonts w:ascii="Cambria Math" w:hAnsi="Cambria Math"/>
                  <w:sz w:val="22"/>
                  <w:szCs w:val="20"/>
                </w:rPr>
                <m:t>b</m:t>
              </m:r>
            </m:oMath>
          </w:p>
          <w:p w14:paraId="67507396" w14:textId="45D0369D" w:rsidR="002C5594" w:rsidRPr="00D64334" w:rsidRDefault="002C5594" w:rsidP="008B7E82">
            <w:pPr>
              <w:spacing w:after="0"/>
              <w:rPr>
                <w:sz w:val="22"/>
                <w:szCs w:val="20"/>
                <w:lang w:val="es-US"/>
              </w:rPr>
            </w:pPr>
            <w:r w:rsidRPr="00D64334">
              <w:rPr>
                <w:sz w:val="22"/>
                <w:szCs w:val="20"/>
                <w:lang w:val="es"/>
              </w:rPr>
              <w:t xml:space="preserve">(Fórmula: </w:t>
            </w:r>
            <m:oMath>
              <m:r>
                <w:rPr>
                  <w:rFonts w:ascii="Cambria Math" w:hAnsi="Cambria Math"/>
                  <w:sz w:val="22"/>
                  <w:szCs w:val="20"/>
                </w:rPr>
                <m:t>A</m:t>
              </m:r>
              <m:r>
                <w:rPr>
                  <w:rFonts w:ascii="Cambria Math" w:hAnsi="Cambria Math"/>
                  <w:sz w:val="22"/>
                  <w:szCs w:val="20"/>
                  <w:lang w:val="es-US"/>
                </w:rPr>
                <m:t>=</m:t>
              </m:r>
            </m:oMath>
            <w:r w:rsidRPr="00D64334">
              <w:rPr>
                <w:sz w:val="22"/>
                <w:szCs w:val="20"/>
                <w:lang w:val="es"/>
              </w:rPr>
              <w:t xml:space="preserve">         </w:t>
            </w:r>
            <w:proofErr w:type="gramStart"/>
            <w:r w:rsidRPr="00D64334">
              <w:rPr>
                <w:sz w:val="22"/>
                <w:szCs w:val="20"/>
                <w:lang w:val="es"/>
              </w:rPr>
              <w:t xml:space="preserve">  )</w:t>
            </w:r>
            <w:proofErr w:type="gramEnd"/>
          </w:p>
        </w:tc>
        <w:tc>
          <w:tcPr>
            <w:tcW w:w="2387" w:type="dxa"/>
          </w:tcPr>
          <w:p w14:paraId="146F1FAE" w14:textId="77777777" w:rsidR="002C5594" w:rsidRPr="00D64334" w:rsidRDefault="002C5594" w:rsidP="008B7E82">
            <w:pPr>
              <w:spacing w:after="0"/>
              <w:rPr>
                <w:sz w:val="22"/>
                <w:szCs w:val="20"/>
                <w:lang w:val="es-US"/>
              </w:rPr>
            </w:pPr>
          </w:p>
        </w:tc>
        <w:tc>
          <w:tcPr>
            <w:tcW w:w="2387" w:type="dxa"/>
          </w:tcPr>
          <w:p w14:paraId="061F160E" w14:textId="77777777" w:rsidR="002C5594" w:rsidRPr="00D64334" w:rsidRDefault="002C5594" w:rsidP="008B7E82">
            <w:pPr>
              <w:spacing w:after="0"/>
              <w:rPr>
                <w:sz w:val="22"/>
                <w:szCs w:val="20"/>
                <w:lang w:val="es-US"/>
              </w:rPr>
            </w:pPr>
          </w:p>
        </w:tc>
        <w:tc>
          <w:tcPr>
            <w:tcW w:w="2162" w:type="dxa"/>
          </w:tcPr>
          <w:p w14:paraId="719DC145" w14:textId="77777777" w:rsidR="002C5594" w:rsidRPr="00D64334" w:rsidRDefault="002C5594" w:rsidP="008B7E82">
            <w:pPr>
              <w:spacing w:after="0"/>
              <w:rPr>
                <w:sz w:val="22"/>
                <w:szCs w:val="20"/>
                <w:lang w:val="es-US"/>
              </w:rPr>
            </w:pPr>
          </w:p>
        </w:tc>
      </w:tr>
    </w:tbl>
    <w:p w14:paraId="64F133F5" w14:textId="77777777" w:rsidR="008B7E82" w:rsidRPr="00D64334" w:rsidRDefault="008B7E82" w:rsidP="00B90CD6">
      <w:pPr>
        <w:pStyle w:val="Heading1"/>
        <w:rPr>
          <w:lang w:val="es-US"/>
        </w:rPr>
      </w:pPr>
    </w:p>
    <w:p w14:paraId="39402383" w14:textId="77777777" w:rsidR="008B7E82" w:rsidRPr="00D64334" w:rsidRDefault="008B7E82" w:rsidP="008B7E82">
      <w:pPr>
        <w:pStyle w:val="BodyText"/>
        <w:rPr>
          <w:rFonts w:asciiTheme="majorHAnsi" w:eastAsiaTheme="majorEastAsia" w:hAnsiTheme="majorHAnsi" w:cstheme="majorBidi"/>
          <w:color w:val="910D28" w:themeColor="accent1"/>
          <w:szCs w:val="32"/>
          <w:shd w:val="clear" w:color="auto" w:fill="FFFFFF"/>
          <w:lang w:val="es-US"/>
        </w:rPr>
      </w:pPr>
      <w:r>
        <w:rPr>
          <w:lang w:val="es"/>
        </w:rPr>
        <w:br w:type="page"/>
      </w:r>
    </w:p>
    <w:p w14:paraId="4D400A28" w14:textId="14631C44" w:rsidR="00D106FF" w:rsidRPr="00D64334" w:rsidRDefault="00B90CD6" w:rsidP="00B90CD6">
      <w:pPr>
        <w:pStyle w:val="Heading1"/>
        <w:rPr>
          <w:sz w:val="22"/>
          <w:szCs w:val="28"/>
        </w:rPr>
      </w:pPr>
      <w:r w:rsidRPr="00D64334">
        <w:rPr>
          <w:bCs/>
          <w:sz w:val="22"/>
          <w:szCs w:val="28"/>
          <w:lang w:val="es"/>
        </w:rPr>
        <w:lastRenderedPageBreak/>
        <w:t>Construir los sólidos</w:t>
      </w:r>
    </w:p>
    <w:p w14:paraId="4B547EFD" w14:textId="336CBF82" w:rsidR="00B90CD6" w:rsidRPr="00D64334" w:rsidRDefault="00B90CD6" w:rsidP="00B90CD6">
      <w:pPr>
        <w:pStyle w:val="ListParagraph"/>
        <w:numPr>
          <w:ilvl w:val="0"/>
          <w:numId w:val="13"/>
        </w:numPr>
        <w:rPr>
          <w:sz w:val="22"/>
          <w:szCs w:val="20"/>
          <w:lang w:val="es-US"/>
        </w:rPr>
      </w:pPr>
      <w:r w:rsidRPr="00D64334">
        <w:rPr>
          <w:rFonts w:cs="Cambria Math"/>
          <w:sz w:val="22"/>
          <w:szCs w:val="20"/>
          <w:lang w:val="es"/>
        </w:rPr>
        <w:t xml:space="preserve">Dibuja con precisión las regiones </w:t>
      </w:r>
      <w:r w:rsidRPr="00D64334">
        <w:rPr>
          <w:rFonts w:ascii="Cambria Math" w:hAnsi="Cambria Math" w:cs="Cambria Math"/>
          <w:sz w:val="20"/>
          <w:szCs w:val="20"/>
          <w:lang w:val="es"/>
        </w:rPr>
        <w:t>𝑅,</w:t>
      </w:r>
      <w:r w:rsidRPr="00D64334">
        <w:rPr>
          <w:rFonts w:cs="Cambria Math"/>
          <w:sz w:val="22"/>
          <w:szCs w:val="20"/>
          <w:lang w:val="es"/>
        </w:rPr>
        <w:t xml:space="preserve"> </w:t>
      </w:r>
      <w:r w:rsidRPr="00D64334">
        <w:rPr>
          <w:rFonts w:ascii="Cambria Math" w:hAnsi="Cambria Math" w:cs="Cambria Math"/>
          <w:sz w:val="20"/>
          <w:szCs w:val="20"/>
          <w:lang w:val="es"/>
        </w:rPr>
        <w:t>𝑆</w:t>
      </w:r>
      <w:r w:rsidRPr="00D64334">
        <w:rPr>
          <w:rFonts w:cs="Cambria Math"/>
          <w:sz w:val="22"/>
          <w:szCs w:val="20"/>
          <w:lang w:val="es"/>
        </w:rPr>
        <w:t xml:space="preserve"> y </w:t>
      </w:r>
      <w:r w:rsidRPr="00D64334">
        <w:rPr>
          <w:rFonts w:ascii="Cambria Math" w:hAnsi="Cambria Math" w:cs="Cambria Math"/>
          <w:sz w:val="20"/>
          <w:szCs w:val="20"/>
          <w:lang w:val="es"/>
        </w:rPr>
        <w:t>𝑇</w:t>
      </w:r>
      <w:r w:rsidRPr="00D64334">
        <w:rPr>
          <w:rFonts w:cs="Cambria Math"/>
          <w:sz w:val="22"/>
          <w:szCs w:val="20"/>
          <w:lang w:val="es"/>
        </w:rPr>
        <w:t xml:space="preserve"> en tres hojas distintas de papel de copia.</w:t>
      </w:r>
    </w:p>
    <w:p w14:paraId="1FA3A9B2" w14:textId="5644684B" w:rsidR="00B90CD6" w:rsidRPr="00D64334" w:rsidRDefault="00B90CD6" w:rsidP="00B90CD6">
      <w:pPr>
        <w:pStyle w:val="ListParagraph"/>
        <w:numPr>
          <w:ilvl w:val="0"/>
          <w:numId w:val="13"/>
        </w:numPr>
        <w:rPr>
          <w:sz w:val="22"/>
          <w:szCs w:val="20"/>
          <w:lang w:val="es-US"/>
        </w:rPr>
      </w:pPr>
      <w:r w:rsidRPr="00D64334">
        <w:rPr>
          <w:sz w:val="22"/>
          <w:szCs w:val="20"/>
          <w:lang w:val="es"/>
        </w:rPr>
        <w:t>Elige tres de las cuatro secciones transversales de la tabla para utilizarlas en tu modelo.</w:t>
      </w:r>
    </w:p>
    <w:p w14:paraId="1961F591" w14:textId="56716228" w:rsidR="00B90CD6" w:rsidRPr="00D64334" w:rsidRDefault="00B90CD6" w:rsidP="00B90CD6">
      <w:pPr>
        <w:pStyle w:val="ListParagraph"/>
        <w:numPr>
          <w:ilvl w:val="0"/>
          <w:numId w:val="13"/>
        </w:numPr>
        <w:rPr>
          <w:sz w:val="22"/>
          <w:szCs w:val="20"/>
          <w:lang w:val="es-US"/>
        </w:rPr>
      </w:pPr>
      <w:r w:rsidRPr="00D64334">
        <w:rPr>
          <w:sz w:val="22"/>
          <w:szCs w:val="20"/>
          <w:lang w:val="es"/>
        </w:rPr>
        <w:t>Utiliza el transportador y el compás para recortar formas de la cartulina que representen al menos 10 secciones transversales de distinto tamaño. Asegúrate de medir la altura del gráfico para poder cortar las formas con precisión.</w:t>
      </w:r>
    </w:p>
    <w:p w14:paraId="23FCB1B3" w14:textId="5590BE63" w:rsidR="00B90CD6" w:rsidRPr="00D64334" w:rsidRDefault="00B90CD6" w:rsidP="00B90CD6">
      <w:pPr>
        <w:pStyle w:val="ListParagraph"/>
        <w:numPr>
          <w:ilvl w:val="0"/>
          <w:numId w:val="13"/>
        </w:numPr>
        <w:rPr>
          <w:sz w:val="22"/>
          <w:szCs w:val="20"/>
          <w:lang w:val="es-US"/>
        </w:rPr>
      </w:pPr>
      <w:r w:rsidRPr="00D64334">
        <w:rPr>
          <w:sz w:val="22"/>
          <w:szCs w:val="20"/>
          <w:lang w:val="es"/>
        </w:rPr>
        <w:t>Pega con cinta adhesiva o con pegamento las secciones transversales en las regiones que has dibujado.</w:t>
      </w:r>
    </w:p>
    <w:sectPr w:rsidR="00B90CD6" w:rsidRPr="00D6433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3633" w14:textId="77777777" w:rsidR="003F4725" w:rsidRDefault="003F4725" w:rsidP="00293785">
      <w:pPr>
        <w:spacing w:after="0" w:line="240" w:lineRule="auto"/>
      </w:pPr>
      <w:r>
        <w:separator/>
      </w:r>
    </w:p>
  </w:endnote>
  <w:endnote w:type="continuationSeparator" w:id="0">
    <w:p w14:paraId="69A8F6EC" w14:textId="77777777" w:rsidR="003F4725" w:rsidRDefault="003F472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9E47"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3646F17" wp14:editId="6F06AD8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E62F209" w14:textId="335BAF3A" w:rsidR="00293785" w:rsidRDefault="00D64334" w:rsidP="00D106FF">
                          <w:pPr>
                            <w:pStyle w:val="LessonFooter"/>
                          </w:pPr>
                          <w:sdt>
                            <w:sdtPr>
                              <w:alias w:val="Title"/>
                              <w:tag w:val=""/>
                              <w:id w:val="1281607793"/>
                              <w:placeholder>
                                <w:docPart w:val="06B65596CDD14A25A8BF5C9D3569787A"/>
                              </w:placeholder>
                              <w:dataBinding w:prefixMappings="xmlns:ns0='http://purl.org/dc/elements/1.1/' xmlns:ns1='http://schemas.openxmlformats.org/package/2006/metadata/core-properties' " w:xpath="/ns1:coreProperties[1]/ns0:title[1]" w:storeItemID="{6C3C8BC8-F283-45AE-878A-BAB7291924A1}"/>
                              <w:text/>
                            </w:sdtPr>
                            <w:sdtEndPr/>
                            <w:sdtContent>
                              <w:r w:rsidR="003F4725">
                                <w:rPr>
                                  <w:bCs/>
                                  <w:lang w:val="es"/>
                                </w:rPr>
                                <w:t>What Does That Look Like?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46F17"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E62F209" w14:textId="335BAF3A" w:rsidR="00293785" w:rsidRDefault="00D64334" w:rsidP="00D106FF">
                    <w:pPr>
                      <w:pStyle w:val="LessonFooter"/>
                    </w:pPr>
                    <w:sdt>
                      <w:sdtPr>
                        <w:alias w:val="Title"/>
                        <w:tag w:val=""/>
                        <w:id w:val="1281607793"/>
                        <w:placeholder>
                          <w:docPart w:val="06B65596CDD14A25A8BF5C9D3569787A"/>
                        </w:placeholder>
                        <w:dataBinding w:prefixMappings="xmlns:ns0='http://purl.org/dc/elements/1.1/' xmlns:ns1='http://schemas.openxmlformats.org/package/2006/metadata/core-properties' " w:xpath="/ns1:coreProperties[1]/ns0:title[1]" w:storeItemID="{6C3C8BC8-F283-45AE-878A-BAB7291924A1}"/>
                        <w:text/>
                      </w:sdtPr>
                      <w:sdtEndPr/>
                      <w:sdtContent>
                        <w:r w:rsidR="003F4725">
                          <w:rPr>
                            <w:bCs/>
                            <w:lang w:val="es"/>
                          </w:rPr>
                          <w:t>What Does That Look Like?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E3B1A48" wp14:editId="6C6C361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CCC4" w14:textId="77777777" w:rsidR="003F4725" w:rsidRDefault="003F4725" w:rsidP="00293785">
      <w:pPr>
        <w:spacing w:after="0" w:line="240" w:lineRule="auto"/>
      </w:pPr>
      <w:r>
        <w:separator/>
      </w:r>
    </w:p>
  </w:footnote>
  <w:footnote w:type="continuationSeparator" w:id="0">
    <w:p w14:paraId="7AC8C452" w14:textId="77777777" w:rsidR="003F4725" w:rsidRDefault="003F472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30780"/>
    <w:multiLevelType w:val="hybridMultilevel"/>
    <w:tmpl w:val="D3A0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638EA"/>
    <w:multiLevelType w:val="hybridMultilevel"/>
    <w:tmpl w:val="1770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961493">
    <w:abstractNumId w:val="8"/>
  </w:num>
  <w:num w:numId="2" w16cid:durableId="1460151021">
    <w:abstractNumId w:val="9"/>
  </w:num>
  <w:num w:numId="3" w16cid:durableId="1966620133">
    <w:abstractNumId w:val="0"/>
  </w:num>
  <w:num w:numId="4" w16cid:durableId="14157618">
    <w:abstractNumId w:val="4"/>
  </w:num>
  <w:num w:numId="5" w16cid:durableId="916718327">
    <w:abstractNumId w:val="5"/>
  </w:num>
  <w:num w:numId="6" w16cid:durableId="20400366">
    <w:abstractNumId w:val="7"/>
  </w:num>
  <w:num w:numId="7" w16cid:durableId="1107700106">
    <w:abstractNumId w:val="6"/>
  </w:num>
  <w:num w:numId="8" w16cid:durableId="1236013261">
    <w:abstractNumId w:val="10"/>
  </w:num>
  <w:num w:numId="9" w16cid:durableId="314603576">
    <w:abstractNumId w:val="11"/>
  </w:num>
  <w:num w:numId="10" w16cid:durableId="931015767">
    <w:abstractNumId w:val="12"/>
  </w:num>
  <w:num w:numId="11" w16cid:durableId="570963351">
    <w:abstractNumId w:val="3"/>
  </w:num>
  <w:num w:numId="12" w16cid:durableId="2064482269">
    <w:abstractNumId w:val="1"/>
  </w:num>
  <w:num w:numId="13" w16cid:durableId="1101998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68"/>
    <w:rsid w:val="0004006F"/>
    <w:rsid w:val="00053775"/>
    <w:rsid w:val="0005619A"/>
    <w:rsid w:val="0011259B"/>
    <w:rsid w:val="00116FDD"/>
    <w:rsid w:val="00125621"/>
    <w:rsid w:val="001D0BBF"/>
    <w:rsid w:val="001E1F85"/>
    <w:rsid w:val="001F125D"/>
    <w:rsid w:val="00232E8D"/>
    <w:rsid w:val="002345CC"/>
    <w:rsid w:val="00293785"/>
    <w:rsid w:val="002C0879"/>
    <w:rsid w:val="002C37B4"/>
    <w:rsid w:val="002C5594"/>
    <w:rsid w:val="0036040A"/>
    <w:rsid w:val="003F4725"/>
    <w:rsid w:val="00446C13"/>
    <w:rsid w:val="005078B4"/>
    <w:rsid w:val="0053328A"/>
    <w:rsid w:val="00540FC6"/>
    <w:rsid w:val="00645D7F"/>
    <w:rsid w:val="00656940"/>
    <w:rsid w:val="00657791"/>
    <w:rsid w:val="00666C03"/>
    <w:rsid w:val="00680C40"/>
    <w:rsid w:val="00686DAB"/>
    <w:rsid w:val="006E1542"/>
    <w:rsid w:val="00721EA4"/>
    <w:rsid w:val="00775568"/>
    <w:rsid w:val="007B055F"/>
    <w:rsid w:val="00880013"/>
    <w:rsid w:val="008B7E82"/>
    <w:rsid w:val="008F5386"/>
    <w:rsid w:val="00913172"/>
    <w:rsid w:val="00981E19"/>
    <w:rsid w:val="009B52E4"/>
    <w:rsid w:val="009D6E8D"/>
    <w:rsid w:val="00A101E8"/>
    <w:rsid w:val="00AC349E"/>
    <w:rsid w:val="00B90CD6"/>
    <w:rsid w:val="00B92DBF"/>
    <w:rsid w:val="00BD119F"/>
    <w:rsid w:val="00C73EA1"/>
    <w:rsid w:val="00CC4F77"/>
    <w:rsid w:val="00CD3CF6"/>
    <w:rsid w:val="00CE336D"/>
    <w:rsid w:val="00D106FF"/>
    <w:rsid w:val="00D626EB"/>
    <w:rsid w:val="00D64334"/>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A99AE"/>
  <w15:docId w15:val="{50215850-C119-404D-BC2D-630DFB97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B90CD6"/>
    <w:pPr>
      <w:keepNext/>
      <w:keepLines/>
      <w:spacing w:before="200" w:line="240"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64334"/>
    <w:pPr>
      <w:spacing w:after="240" w:line="240" w:lineRule="auto"/>
      <w:outlineLvl w:val="0"/>
    </w:pPr>
    <w:rPr>
      <w:rFonts w:asciiTheme="majorHAnsi" w:eastAsiaTheme="majorEastAsia" w:hAnsiTheme="majorHAnsi" w:cstheme="majorBidi"/>
      <w:b/>
      <w:bCs/>
      <w:caps/>
      <w:spacing w:val="-10"/>
      <w:kern w:val="28"/>
      <w:sz w:val="28"/>
      <w:szCs w:val="52"/>
      <w:lang w:val="e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bCs/>
      <w:caps/>
      <w:color w:val="2D2D2D"/>
      <w:spacing w:val="-10"/>
      <w:kern w:val="28"/>
      <w:sz w:val="24"/>
      <w:szCs w:val="56"/>
      <w:lang w:val="es"/>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B90CD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64334"/>
    <w:rPr>
      <w:rFonts w:asciiTheme="majorHAnsi" w:eastAsiaTheme="majorEastAsia" w:hAnsiTheme="majorHAnsi" w:cstheme="majorBidi"/>
      <w:b/>
      <w:bCs/>
      <w:caps/>
      <w:spacing w:val="-10"/>
      <w:kern w:val="28"/>
      <w:sz w:val="28"/>
      <w:szCs w:val="52"/>
      <w:lang w:val="es"/>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B65596CDD14A25A8BF5C9D3569787A"/>
        <w:category>
          <w:name w:val="General"/>
          <w:gallery w:val="placeholder"/>
        </w:category>
        <w:types>
          <w:type w:val="bbPlcHdr"/>
        </w:types>
        <w:behaviors>
          <w:behavior w:val="content"/>
        </w:behaviors>
        <w:guid w:val="{6C8452A3-3885-4541-80B2-3C4990CD23E9}"/>
      </w:docPartPr>
      <w:docPartBody>
        <w:p w:rsidR="009C6036" w:rsidRDefault="004A5DC9">
          <w:pPr>
            <w:pStyle w:val="06B65596CDD14A25A8BF5C9D3569787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53"/>
    <w:rsid w:val="004A5DC9"/>
    <w:rsid w:val="004D7B53"/>
    <w:rsid w:val="009C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B53"/>
    <w:rPr>
      <w:color w:val="808080"/>
    </w:rPr>
  </w:style>
  <w:style w:type="paragraph" w:customStyle="1" w:styleId="06B65596CDD14A25A8BF5C9D3569787A">
    <w:name w:val="06B65596CDD14A25A8BF5C9D35697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68C8-4D6B-4324-8B8B-06181BCE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77</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That Look Like?</dc:title>
  <dc:creator>K20 Center</dc:creator>
  <cp:lastModifiedBy>Anna G. Patrick</cp:lastModifiedBy>
  <cp:revision>3</cp:revision>
  <cp:lastPrinted>2016-07-14T14:08:00Z</cp:lastPrinted>
  <dcterms:created xsi:type="dcterms:W3CDTF">2018-06-13T16:01:00Z</dcterms:created>
  <dcterms:modified xsi:type="dcterms:W3CDTF">2022-06-10T16:47:00Z</dcterms:modified>
</cp:coreProperties>
</file>