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B16" w:rsidRPr="004E6DE0" w:rsidRDefault="00620376" w:rsidP="00620376">
      <w:pPr>
        <w:rPr>
          <w:b/>
          <w:color w:val="313131" w:themeColor="accent4" w:themeShade="80"/>
          <w:sz w:val="28"/>
          <w:szCs w:val="28"/>
        </w:rPr>
      </w:pPr>
      <w:r w:rsidRPr="004E6DE0">
        <w:rPr>
          <w:b/>
          <w:color w:val="313131" w:themeColor="accent4" w:themeShade="80"/>
          <w:sz w:val="28"/>
          <w:szCs w:val="28"/>
        </w:rPr>
        <w:t>KEY PROVISIONS OF THE PATRIOT ACT OF 2001</w:t>
      </w:r>
    </w:p>
    <w:p w:rsidR="00620376" w:rsidRPr="00620376" w:rsidRDefault="00620376" w:rsidP="00620376">
      <w:pPr>
        <w:rPr>
          <w:i/>
          <w:color w:val="3E5C61" w:themeColor="accent2"/>
          <w:sz w:val="18"/>
          <w:szCs w:val="18"/>
        </w:rPr>
      </w:pPr>
      <w:bookmarkStart w:id="0" w:name="_GoBack"/>
      <w:r w:rsidRPr="00620376">
        <w:rPr>
          <w:b/>
          <w:i/>
          <w:color w:val="3E5C61" w:themeColor="accent2"/>
          <w:sz w:val="18"/>
          <w:szCs w:val="18"/>
        </w:rPr>
        <w:t>Source:</w:t>
      </w:r>
      <w:r w:rsidRPr="00620376">
        <w:rPr>
          <w:i/>
          <w:color w:val="3E5C61" w:themeColor="accent2"/>
          <w:sz w:val="18"/>
          <w:szCs w:val="18"/>
        </w:rPr>
        <w:t xml:space="preserve"> </w:t>
      </w:r>
      <w:r w:rsidRPr="00620376">
        <w:rPr>
          <w:rFonts w:cs="Arial"/>
          <w:i/>
          <w:color w:val="3E5C61" w:themeColor="accent2"/>
          <w:sz w:val="18"/>
          <w:szCs w:val="18"/>
        </w:rPr>
        <w:t>Abramson, L., &amp; Godoy, M. (2005). The Patriot Act: Key controversies. NPR.</w:t>
      </w:r>
      <w:r w:rsidRPr="00620376">
        <w:rPr>
          <w:i/>
          <w:color w:val="3E5C61" w:themeColor="accent2"/>
          <w:sz w:val="18"/>
          <w:szCs w:val="18"/>
        </w:rPr>
        <w:t xml:space="preserve"> Retrieved from </w:t>
      </w:r>
      <w:r w:rsidRPr="00620376">
        <w:rPr>
          <w:rFonts w:cs="Arial"/>
          <w:i/>
          <w:color w:val="3E5C61" w:themeColor="accent2"/>
          <w:sz w:val="18"/>
          <w:szCs w:val="18"/>
        </w:rPr>
        <w:t>http://www.npr.org/news/specials/patriotact/patriotactdeal.html</w:t>
      </w:r>
    </w:p>
    <w:bookmarkEnd w:id="0"/>
    <w:p w:rsidR="001A3471" w:rsidRPr="00620376" w:rsidRDefault="001A3471" w:rsidP="001A3471">
      <w:pPr>
        <w:rPr>
          <w:color w:val="313131" w:themeColor="accent4" w:themeShade="80"/>
        </w:rPr>
      </w:pPr>
      <w:r w:rsidRPr="00620376">
        <w:rPr>
          <w:color w:val="313131" w:themeColor="accent4" w:themeShade="80"/>
        </w:rPr>
        <w:t>Passed in the weeks after the Sept. 11 attacks, the Patriot Act was designed to enhance federal anti-terrorism investigations.</w:t>
      </w:r>
    </w:p>
    <w:p w:rsidR="001A3471" w:rsidRPr="00620376" w:rsidRDefault="001A3471" w:rsidP="00312B16">
      <w:pPr>
        <w:pStyle w:val="ListParagraph"/>
        <w:numPr>
          <w:ilvl w:val="0"/>
          <w:numId w:val="1"/>
        </w:numPr>
        <w:rPr>
          <w:b/>
          <w:color w:val="313131" w:themeColor="accent4" w:themeShade="80"/>
        </w:rPr>
      </w:pPr>
      <w:r w:rsidRPr="00620376">
        <w:rPr>
          <w:b/>
          <w:color w:val="313131" w:themeColor="accent4" w:themeShade="80"/>
        </w:rPr>
        <w:t>Information Sharing</w:t>
      </w:r>
    </w:p>
    <w:p w:rsidR="001A3471" w:rsidRPr="00620376" w:rsidRDefault="001A3471" w:rsidP="001A3471">
      <w:pPr>
        <w:rPr>
          <w:color w:val="313131" w:themeColor="accent4" w:themeShade="80"/>
        </w:rPr>
      </w:pPr>
      <w:r w:rsidRPr="00620376">
        <w:rPr>
          <w:color w:val="313131" w:themeColor="accent4" w:themeShade="80"/>
        </w:rPr>
        <w:t>Sections of the Patriot Act a</w:t>
      </w:r>
      <w:r w:rsidR="00662183" w:rsidRPr="00620376">
        <w:rPr>
          <w:color w:val="313131" w:themeColor="accent4" w:themeShade="80"/>
        </w:rPr>
        <w:t>llow</w:t>
      </w:r>
      <w:r w:rsidRPr="00620376">
        <w:rPr>
          <w:color w:val="313131" w:themeColor="accent4" w:themeShade="80"/>
        </w:rPr>
        <w:t xml:space="preserve"> information from criminal probes to be shared with intelligence agencies and other parts of the government. Information could then be shared between the FBI, the CIA,</w:t>
      </w:r>
      <w:r w:rsidR="00662183" w:rsidRPr="00620376">
        <w:rPr>
          <w:color w:val="313131" w:themeColor="accent4" w:themeShade="80"/>
        </w:rPr>
        <w:t xml:space="preserve"> the National Security Council,</w:t>
      </w:r>
      <w:r w:rsidRPr="00620376">
        <w:rPr>
          <w:color w:val="313131" w:themeColor="accent4" w:themeShade="80"/>
        </w:rPr>
        <w:t xml:space="preserve"> and the Department of Homeland Security.  </w:t>
      </w:r>
    </w:p>
    <w:p w:rsidR="001A3471" w:rsidRPr="00620376" w:rsidRDefault="001A3471" w:rsidP="001A3471">
      <w:pPr>
        <w:rPr>
          <w:color w:val="313131" w:themeColor="accent4" w:themeShade="80"/>
        </w:rPr>
      </w:pPr>
      <w:r w:rsidRPr="00620376">
        <w:rPr>
          <w:color w:val="313131" w:themeColor="accent4" w:themeShade="80"/>
        </w:rPr>
        <w:t>Supporters say the provisions have greatly enhanced information sharing within the FBI, and with the intelligence community at large.</w:t>
      </w:r>
    </w:p>
    <w:p w:rsidR="001A3471" w:rsidRPr="00620376" w:rsidRDefault="001A3471" w:rsidP="001A3471">
      <w:pPr>
        <w:rPr>
          <w:color w:val="313131" w:themeColor="accent4" w:themeShade="80"/>
        </w:rPr>
      </w:pPr>
      <w:r w:rsidRPr="00620376">
        <w:rPr>
          <w:color w:val="313131" w:themeColor="accent4" w:themeShade="80"/>
        </w:rPr>
        <w:t>Critics warn that unrestricted sharing could lead to the development of massive</w:t>
      </w:r>
      <w:r w:rsidR="00662183" w:rsidRPr="00620376">
        <w:rPr>
          <w:color w:val="313131" w:themeColor="accent4" w:themeShade="80"/>
        </w:rPr>
        <w:t xml:space="preserve"> compiled</w:t>
      </w:r>
      <w:r w:rsidRPr="00620376">
        <w:rPr>
          <w:color w:val="313131" w:themeColor="accent4" w:themeShade="80"/>
        </w:rPr>
        <w:t xml:space="preserve"> databases about citizens who are not always the target of criminal investigations.</w:t>
      </w:r>
    </w:p>
    <w:p w:rsidR="001A3471" w:rsidRPr="00620376" w:rsidRDefault="001A3471" w:rsidP="001A3471">
      <w:pPr>
        <w:rPr>
          <w:color w:val="313131" w:themeColor="accent4" w:themeShade="80"/>
        </w:rPr>
      </w:pPr>
      <w:r w:rsidRPr="00620376">
        <w:rPr>
          <w:color w:val="313131" w:themeColor="accent4" w:themeShade="80"/>
        </w:rPr>
        <w:t>This part of the Patriot Act is at the heart of the effort to break down the "wall" that is used to separate criminal and intelligence investigations. The Justice Department has frequently blamed the wall for the failure to find and detain</w:t>
      </w:r>
      <w:r w:rsidR="00662183" w:rsidRPr="00620376">
        <w:rPr>
          <w:color w:val="313131" w:themeColor="accent4" w:themeShade="80"/>
        </w:rPr>
        <w:t xml:space="preserve"> the</w:t>
      </w:r>
      <w:r w:rsidR="00620376" w:rsidRPr="00620376">
        <w:rPr>
          <w:color w:val="313131" w:themeColor="accent4" w:themeShade="80"/>
        </w:rPr>
        <w:t xml:space="preserve"> Sept. 11 hijackers. </w:t>
      </w:r>
      <w:r w:rsidRPr="00620376">
        <w:rPr>
          <w:color w:val="313131" w:themeColor="accent4" w:themeShade="80"/>
        </w:rPr>
        <w:t>CIA agents had information that both men were in the United States and were suspected terrorists, but the FBI says it did not receive that information until August</w:t>
      </w:r>
      <w:r w:rsidR="00662183" w:rsidRPr="00620376">
        <w:rPr>
          <w:color w:val="313131" w:themeColor="accent4" w:themeShade="80"/>
        </w:rPr>
        <w:t xml:space="preserve"> of</w:t>
      </w:r>
      <w:r w:rsidRPr="00620376">
        <w:rPr>
          <w:color w:val="313131" w:themeColor="accent4" w:themeShade="80"/>
        </w:rPr>
        <w:t xml:space="preserve"> 2001</w:t>
      </w:r>
      <w:r w:rsidR="00620376" w:rsidRPr="00620376">
        <w:rPr>
          <w:color w:val="313131" w:themeColor="accent4" w:themeShade="80"/>
        </w:rPr>
        <w:t>.</w:t>
      </w:r>
    </w:p>
    <w:p w:rsidR="001A3471" w:rsidRPr="00620376" w:rsidRDefault="001A3471" w:rsidP="00312B16">
      <w:pPr>
        <w:pStyle w:val="ListParagraph"/>
        <w:numPr>
          <w:ilvl w:val="0"/>
          <w:numId w:val="1"/>
        </w:numPr>
        <w:rPr>
          <w:b/>
          <w:color w:val="313131" w:themeColor="accent4" w:themeShade="80"/>
        </w:rPr>
      </w:pPr>
      <w:r w:rsidRPr="00620376">
        <w:rPr>
          <w:b/>
          <w:color w:val="313131" w:themeColor="accent4" w:themeShade="80"/>
        </w:rPr>
        <w:t>Roving Wiretaps</w:t>
      </w:r>
    </w:p>
    <w:p w:rsidR="001A3471" w:rsidRPr="00620376" w:rsidRDefault="001A3471" w:rsidP="001A3471">
      <w:pPr>
        <w:rPr>
          <w:color w:val="313131" w:themeColor="accent4" w:themeShade="80"/>
        </w:rPr>
      </w:pPr>
      <w:r w:rsidRPr="00620376">
        <w:rPr>
          <w:color w:val="313131" w:themeColor="accent4" w:themeShade="80"/>
        </w:rPr>
        <w:t>The Patriot Act also allows one wiretap authorization to cover multiple devices</w:t>
      </w:r>
      <w:r w:rsidR="00662183" w:rsidRPr="00620376">
        <w:rPr>
          <w:color w:val="313131" w:themeColor="accent4" w:themeShade="80"/>
        </w:rPr>
        <w:t xml:space="preserve"> of a suspect</w:t>
      </w:r>
      <w:r w:rsidRPr="00620376">
        <w:rPr>
          <w:color w:val="313131" w:themeColor="accent4" w:themeShade="80"/>
        </w:rPr>
        <w:t xml:space="preserve">, eliminating the need for separate court authorizations for a suspect's cell phone, PC and Blackberry, for example. Once a suspect is identified, all communication devices can be tapped for conversations between the suspect and others. </w:t>
      </w:r>
    </w:p>
    <w:p w:rsidR="001A3471" w:rsidRPr="00620376" w:rsidRDefault="001A3471" w:rsidP="001A3471">
      <w:pPr>
        <w:rPr>
          <w:color w:val="313131" w:themeColor="accent4" w:themeShade="80"/>
        </w:rPr>
      </w:pPr>
      <w:r w:rsidRPr="00620376">
        <w:rPr>
          <w:color w:val="313131" w:themeColor="accent4" w:themeShade="80"/>
        </w:rPr>
        <w:t xml:space="preserve"> If someone has casual contact with the suspect, his or her conversations are recorded because of the surveillance</w:t>
      </w:r>
      <w:r w:rsidR="00662183" w:rsidRPr="00620376">
        <w:rPr>
          <w:color w:val="313131" w:themeColor="accent4" w:themeShade="80"/>
        </w:rPr>
        <w:t xml:space="preserve"> and eavesdropping</w:t>
      </w:r>
      <w:r w:rsidRPr="00620376">
        <w:rPr>
          <w:color w:val="313131" w:themeColor="accent4" w:themeShade="80"/>
        </w:rPr>
        <w:t xml:space="preserve"> of the suspect.</w:t>
      </w:r>
    </w:p>
    <w:p w:rsidR="001A3471" w:rsidRPr="00620376" w:rsidRDefault="001A3471" w:rsidP="001A3471">
      <w:pPr>
        <w:rPr>
          <w:color w:val="313131" w:themeColor="accent4" w:themeShade="80"/>
        </w:rPr>
      </w:pPr>
      <w:r w:rsidRPr="00620376">
        <w:rPr>
          <w:color w:val="313131" w:themeColor="accent4" w:themeShade="80"/>
        </w:rPr>
        <w:t>Opponents say this is a privacy violation but supporters say that terrorists frequently use multiple communication devices.</w:t>
      </w:r>
    </w:p>
    <w:p w:rsidR="001A3471" w:rsidRPr="00620376" w:rsidRDefault="004859D5" w:rsidP="00312B16">
      <w:pPr>
        <w:pStyle w:val="ListParagraph"/>
        <w:numPr>
          <w:ilvl w:val="0"/>
          <w:numId w:val="1"/>
        </w:numPr>
        <w:rPr>
          <w:b/>
          <w:color w:val="313131" w:themeColor="accent4" w:themeShade="80"/>
        </w:rPr>
      </w:pPr>
      <w:r w:rsidRPr="00620376">
        <w:rPr>
          <w:b/>
          <w:color w:val="313131" w:themeColor="accent4" w:themeShade="80"/>
        </w:rPr>
        <w:t>Access to Records</w:t>
      </w:r>
    </w:p>
    <w:p w:rsidR="001A3471" w:rsidRPr="00620376" w:rsidRDefault="001A3471" w:rsidP="001A3471">
      <w:pPr>
        <w:rPr>
          <w:color w:val="313131" w:themeColor="accent4" w:themeShade="80"/>
        </w:rPr>
      </w:pPr>
      <w:r w:rsidRPr="00620376">
        <w:rPr>
          <w:color w:val="313131" w:themeColor="accent4" w:themeShade="80"/>
        </w:rPr>
        <w:t>The act allows easier access to business records in foreign intelligence investigations.  This provision allows investigators to obtain books, bank records, papers, documents and other items sought "in connection with" a terror investigation. Critics of this part of the act are concerned that even what a suspect is reading could be used</w:t>
      </w:r>
      <w:r w:rsidR="00662183" w:rsidRPr="00620376">
        <w:rPr>
          <w:color w:val="313131" w:themeColor="accent4" w:themeShade="80"/>
        </w:rPr>
        <w:t xml:space="preserve"> in a criminal trial.</w:t>
      </w:r>
    </w:p>
    <w:p w:rsidR="001A3471" w:rsidRPr="00620376" w:rsidRDefault="001A3471" w:rsidP="001A3471">
      <w:pPr>
        <w:rPr>
          <w:color w:val="313131" w:themeColor="accent4" w:themeShade="80"/>
        </w:rPr>
      </w:pPr>
      <w:r w:rsidRPr="00620376">
        <w:rPr>
          <w:color w:val="313131" w:themeColor="accent4" w:themeShade="80"/>
        </w:rPr>
        <w:t>Library groups said the law could be used to demand the reading records of patrons. But the government points out that the First Amendment activities of Americans are specifically protected by the law. The Justice Department has released previously classified statistics to show the law has never been used against libraries or bookstores. But the act's critics argue that there's no protection against future abuse.</w:t>
      </w:r>
    </w:p>
    <w:p w:rsidR="001A3471" w:rsidRPr="00620376" w:rsidRDefault="001A3471" w:rsidP="00312B16">
      <w:pPr>
        <w:pStyle w:val="ListParagraph"/>
        <w:numPr>
          <w:ilvl w:val="0"/>
          <w:numId w:val="1"/>
        </w:numPr>
        <w:rPr>
          <w:b/>
          <w:color w:val="313131" w:themeColor="accent4" w:themeShade="80"/>
        </w:rPr>
      </w:pPr>
      <w:r w:rsidRPr="00620376">
        <w:rPr>
          <w:b/>
          <w:color w:val="313131" w:themeColor="accent4" w:themeShade="80"/>
        </w:rPr>
        <w:lastRenderedPageBreak/>
        <w:t>Foreign Intelligence Wiretaps and Searches</w:t>
      </w:r>
    </w:p>
    <w:p w:rsidR="001A3471" w:rsidRPr="00620376" w:rsidRDefault="001A3471" w:rsidP="001A3471">
      <w:pPr>
        <w:rPr>
          <w:color w:val="313131" w:themeColor="accent4" w:themeShade="80"/>
        </w:rPr>
      </w:pPr>
      <w:r w:rsidRPr="00620376">
        <w:rPr>
          <w:color w:val="313131" w:themeColor="accent4" w:themeShade="80"/>
        </w:rPr>
        <w:t xml:space="preserve">Criminal investigators have a high bar to reach when asking for permission to wiretap or search a suspect's home. </w:t>
      </w:r>
      <w:r w:rsidR="004859D5" w:rsidRPr="00620376">
        <w:rPr>
          <w:color w:val="313131" w:themeColor="accent4" w:themeShade="80"/>
        </w:rPr>
        <w:t>The bar is lowered</w:t>
      </w:r>
      <w:r w:rsidRPr="00620376">
        <w:rPr>
          <w:color w:val="313131" w:themeColor="accent4" w:themeShade="80"/>
        </w:rPr>
        <w:t xml:space="preserve"> </w:t>
      </w:r>
      <w:r w:rsidR="00662183" w:rsidRPr="00620376">
        <w:rPr>
          <w:color w:val="313131" w:themeColor="accent4" w:themeShade="80"/>
        </w:rPr>
        <w:t xml:space="preserve">by the Patriot Act </w:t>
      </w:r>
      <w:r w:rsidRPr="00620376">
        <w:rPr>
          <w:color w:val="313131" w:themeColor="accent4" w:themeShade="80"/>
        </w:rPr>
        <w:t xml:space="preserve">where investigators must only prove the suspect is an "agent of a foreign power." Previously, investigators had to show that the "primary purpose" of the order was to gather foreign intelligence; the Patriot Act lowered that requirement </w:t>
      </w:r>
      <w:r w:rsidR="004859D5" w:rsidRPr="00620376">
        <w:rPr>
          <w:color w:val="313131" w:themeColor="accent4" w:themeShade="80"/>
        </w:rPr>
        <w:t xml:space="preserve">to a "significant purpose." </w:t>
      </w:r>
      <w:r w:rsidRPr="00620376">
        <w:rPr>
          <w:color w:val="313131" w:themeColor="accent4" w:themeShade="80"/>
        </w:rPr>
        <w:t xml:space="preserve"> It allows investigators to get a foreign intelligence wiretap or search order, even though they</w:t>
      </w:r>
      <w:r w:rsidR="004859D5" w:rsidRPr="00620376">
        <w:rPr>
          <w:color w:val="313131" w:themeColor="accent4" w:themeShade="80"/>
        </w:rPr>
        <w:t xml:space="preserve"> not</w:t>
      </w:r>
      <w:r w:rsidRPr="00620376">
        <w:rPr>
          <w:color w:val="313131" w:themeColor="accent4" w:themeShade="80"/>
        </w:rPr>
        <w:t xml:space="preserve"> might end up bringing criminal charges.</w:t>
      </w:r>
    </w:p>
    <w:p w:rsidR="004859D5" w:rsidRPr="00620376" w:rsidRDefault="004859D5" w:rsidP="001A3471">
      <w:pPr>
        <w:rPr>
          <w:color w:val="313131" w:themeColor="accent4" w:themeShade="80"/>
        </w:rPr>
      </w:pPr>
      <w:r w:rsidRPr="00620376">
        <w:rPr>
          <w:color w:val="313131" w:themeColor="accent4" w:themeShade="80"/>
        </w:rPr>
        <w:t>C</w:t>
      </w:r>
      <w:r w:rsidR="001A3471" w:rsidRPr="00620376">
        <w:rPr>
          <w:color w:val="313131" w:themeColor="accent4" w:themeShade="80"/>
        </w:rPr>
        <w:t>ritics say the Patriot Act cr</w:t>
      </w:r>
      <w:r w:rsidRPr="00620376">
        <w:rPr>
          <w:color w:val="313131" w:themeColor="accent4" w:themeShade="80"/>
        </w:rPr>
        <w:t>eates a new risk</w:t>
      </w:r>
      <w:r w:rsidR="001A3471" w:rsidRPr="00620376">
        <w:rPr>
          <w:color w:val="313131" w:themeColor="accent4" w:themeShade="80"/>
        </w:rPr>
        <w:t xml:space="preserve">-- that investigators will too easily use spying and terrorism as an excuse for launching foreign intelligence wiretaps and searches. They point to the fact that the number of intelligence wiretaps now exceeds the number of criminal </w:t>
      </w:r>
      <w:r w:rsidRPr="00620376">
        <w:rPr>
          <w:color w:val="313131" w:themeColor="accent4" w:themeShade="80"/>
        </w:rPr>
        <w:t>wire</w:t>
      </w:r>
      <w:r w:rsidR="001A3471" w:rsidRPr="00620376">
        <w:rPr>
          <w:color w:val="313131" w:themeColor="accent4" w:themeShade="80"/>
        </w:rPr>
        <w:t>taps. Since these probes are conducted in secret, wi</w:t>
      </w:r>
      <w:r w:rsidR="00662183" w:rsidRPr="00620376">
        <w:rPr>
          <w:color w:val="313131" w:themeColor="accent4" w:themeShade="80"/>
        </w:rPr>
        <w:t>th little oversight, abuses woul</w:t>
      </w:r>
      <w:r w:rsidR="001A3471" w:rsidRPr="00620376">
        <w:rPr>
          <w:color w:val="313131" w:themeColor="accent4" w:themeShade="80"/>
        </w:rPr>
        <w:t xml:space="preserve">d be difficult to uncover. </w:t>
      </w:r>
    </w:p>
    <w:p w:rsidR="001A3471" w:rsidRPr="00620376" w:rsidRDefault="001A3471" w:rsidP="00312B16">
      <w:pPr>
        <w:pStyle w:val="ListParagraph"/>
        <w:numPr>
          <w:ilvl w:val="0"/>
          <w:numId w:val="1"/>
        </w:numPr>
        <w:rPr>
          <w:b/>
          <w:color w:val="313131" w:themeColor="accent4" w:themeShade="80"/>
        </w:rPr>
      </w:pPr>
      <w:r w:rsidRPr="00620376">
        <w:rPr>
          <w:b/>
          <w:color w:val="313131" w:themeColor="accent4" w:themeShade="80"/>
        </w:rPr>
        <w:t>“Sneak &amp; Peek” Warrants</w:t>
      </w:r>
    </w:p>
    <w:p w:rsidR="001A3471" w:rsidRPr="00620376" w:rsidRDefault="001A3471" w:rsidP="001A3471">
      <w:pPr>
        <w:rPr>
          <w:color w:val="313131" w:themeColor="accent4" w:themeShade="80"/>
        </w:rPr>
      </w:pPr>
      <w:r w:rsidRPr="00620376">
        <w:rPr>
          <w:color w:val="313131" w:themeColor="accent4" w:themeShade="80"/>
        </w:rPr>
        <w:t>This section allows for "delayed notice" of search warrants, which means the FBI can search a home or business without immediately notifying the target of the investigation. The Justice Department says this provision has already allowed investigators to search the houses of drug dealers and other criminals without providing notice that might have jeopardized an investigation. Investigators still have to explain why they want to delay notice, and must eventually tell the target about the search.</w:t>
      </w:r>
    </w:p>
    <w:p w:rsidR="00312B16" w:rsidRPr="00620376" w:rsidRDefault="001A3471" w:rsidP="001A3471">
      <w:pPr>
        <w:rPr>
          <w:color w:val="313131" w:themeColor="accent4" w:themeShade="80"/>
        </w:rPr>
      </w:pPr>
      <w:r w:rsidRPr="00620376">
        <w:rPr>
          <w:color w:val="313131" w:themeColor="accent4" w:themeShade="80"/>
        </w:rPr>
        <w:t>Critics say that investigators already had the power to conduct secret searches in counterterror and counterespionage probes. The Patriot Act, they say, authorized the use of this technique for any crime, no matter how minor. They say that "sneak and peek" searches should be narrowly limited to cases in which an investigation would be seriously jeopardized by</w:t>
      </w:r>
      <w:r w:rsidR="004E05F9" w:rsidRPr="00620376">
        <w:rPr>
          <w:color w:val="313131" w:themeColor="accent4" w:themeShade="80"/>
        </w:rPr>
        <w:t xml:space="preserve"> immediate notice. </w:t>
      </w:r>
    </w:p>
    <w:p w:rsidR="001A3471" w:rsidRPr="00620376" w:rsidRDefault="001A3471" w:rsidP="00312B16">
      <w:pPr>
        <w:pStyle w:val="ListParagraph"/>
        <w:numPr>
          <w:ilvl w:val="0"/>
          <w:numId w:val="1"/>
        </w:numPr>
        <w:rPr>
          <w:b/>
          <w:color w:val="313131" w:themeColor="accent4" w:themeShade="80"/>
        </w:rPr>
      </w:pPr>
      <w:r w:rsidRPr="00620376">
        <w:rPr>
          <w:b/>
          <w:color w:val="313131" w:themeColor="accent4" w:themeShade="80"/>
        </w:rPr>
        <w:t>Material Support</w:t>
      </w:r>
    </w:p>
    <w:p w:rsidR="001A3471" w:rsidRPr="00620376" w:rsidRDefault="001A3471" w:rsidP="001A3471">
      <w:pPr>
        <w:rPr>
          <w:color w:val="313131" w:themeColor="accent4" w:themeShade="80"/>
        </w:rPr>
      </w:pPr>
      <w:r w:rsidRPr="00620376">
        <w:rPr>
          <w:color w:val="313131" w:themeColor="accent4" w:themeShade="80"/>
        </w:rPr>
        <w:t xml:space="preserve">The antiterrorism law passed in 1996, in the aftermath of the Oklahoma City bombing, outlawed providing "material support" to foreign terrorist organizations, and expanded the definition of support to include "personnel" </w:t>
      </w:r>
      <w:r w:rsidR="004859D5" w:rsidRPr="00620376">
        <w:rPr>
          <w:color w:val="313131" w:themeColor="accent4" w:themeShade="80"/>
        </w:rPr>
        <w:t>and "training." T</w:t>
      </w:r>
      <w:r w:rsidR="004E05F9" w:rsidRPr="00620376">
        <w:rPr>
          <w:color w:val="313131" w:themeColor="accent4" w:themeShade="80"/>
        </w:rPr>
        <w:t>he Patriot Act expanded material support</w:t>
      </w:r>
      <w:r w:rsidRPr="00620376">
        <w:rPr>
          <w:color w:val="313131" w:themeColor="accent4" w:themeShade="80"/>
        </w:rPr>
        <w:t xml:space="preserve"> to</w:t>
      </w:r>
      <w:r w:rsidR="004E05F9" w:rsidRPr="00620376">
        <w:rPr>
          <w:color w:val="313131" w:themeColor="accent4" w:themeShade="80"/>
        </w:rPr>
        <w:t xml:space="preserve"> include</w:t>
      </w:r>
      <w:r w:rsidRPr="00620376">
        <w:rPr>
          <w:color w:val="313131" w:themeColor="accent4" w:themeShade="80"/>
        </w:rPr>
        <w:t xml:space="preserve"> "expert advice or assistance."</w:t>
      </w:r>
      <w:r w:rsidR="004859D5" w:rsidRPr="00620376">
        <w:rPr>
          <w:color w:val="313131" w:themeColor="accent4" w:themeShade="80"/>
        </w:rPr>
        <w:t xml:space="preserve">  Anyone identified as helping a terrorist in any manner, is</w:t>
      </w:r>
      <w:r w:rsidR="004E05F9" w:rsidRPr="00620376">
        <w:rPr>
          <w:color w:val="313131" w:themeColor="accent4" w:themeShade="80"/>
        </w:rPr>
        <w:t xml:space="preserve"> also</w:t>
      </w:r>
      <w:r w:rsidR="004859D5" w:rsidRPr="00620376">
        <w:rPr>
          <w:color w:val="313131" w:themeColor="accent4" w:themeShade="80"/>
        </w:rPr>
        <w:t xml:space="preserve"> open to criminal charges.</w:t>
      </w:r>
    </w:p>
    <w:p w:rsidR="00312B16" w:rsidRPr="00620376" w:rsidRDefault="001A3471" w:rsidP="001A3471">
      <w:pPr>
        <w:rPr>
          <w:color w:val="313131" w:themeColor="accent4" w:themeShade="80"/>
        </w:rPr>
      </w:pPr>
      <w:r w:rsidRPr="00620376">
        <w:rPr>
          <w:color w:val="313131" w:themeColor="accent4" w:themeShade="80"/>
        </w:rPr>
        <w:t>The Justice Department has said this expansion is critical to cutting off the networks of support</w:t>
      </w:r>
      <w:r w:rsidR="004859D5" w:rsidRPr="00620376">
        <w:rPr>
          <w:color w:val="313131" w:themeColor="accent4" w:themeShade="80"/>
        </w:rPr>
        <w:t xml:space="preserve"> like weapons and money </w:t>
      </w:r>
      <w:r w:rsidRPr="00620376">
        <w:rPr>
          <w:color w:val="313131" w:themeColor="accent4" w:themeShade="80"/>
        </w:rPr>
        <w:t>that make terroris</w:t>
      </w:r>
      <w:r w:rsidR="004859D5" w:rsidRPr="00620376">
        <w:rPr>
          <w:color w:val="313131" w:themeColor="accent4" w:themeShade="80"/>
        </w:rPr>
        <w:t>m possible. Some judges however c</w:t>
      </w:r>
      <w:r w:rsidRPr="00620376">
        <w:rPr>
          <w:color w:val="313131" w:themeColor="accent4" w:themeShade="80"/>
        </w:rPr>
        <w:t xml:space="preserve">ontend the provision is </w:t>
      </w:r>
      <w:r w:rsidR="004859D5" w:rsidRPr="00620376">
        <w:rPr>
          <w:color w:val="313131" w:themeColor="accent4" w:themeShade="80"/>
        </w:rPr>
        <w:t xml:space="preserve">too </w:t>
      </w:r>
      <w:r w:rsidRPr="00620376">
        <w:rPr>
          <w:color w:val="313131" w:themeColor="accent4" w:themeShade="80"/>
        </w:rPr>
        <w:t>vague. They say it will lead to guilt by association and might criminalize unwitting contact</w:t>
      </w:r>
      <w:r w:rsidR="004E05F9" w:rsidRPr="00620376">
        <w:rPr>
          <w:color w:val="313131" w:themeColor="accent4" w:themeShade="80"/>
        </w:rPr>
        <w:t xml:space="preserve"> by innocent persons</w:t>
      </w:r>
      <w:r w:rsidRPr="00620376">
        <w:rPr>
          <w:color w:val="313131" w:themeColor="accent4" w:themeShade="80"/>
        </w:rPr>
        <w:t xml:space="preserve"> with a terrorist</w:t>
      </w:r>
      <w:r w:rsidR="004E05F9" w:rsidRPr="00620376">
        <w:rPr>
          <w:color w:val="313131" w:themeColor="accent4" w:themeShade="80"/>
        </w:rPr>
        <w:t xml:space="preserve"> or terrorist</w:t>
      </w:r>
      <w:r w:rsidRPr="00620376">
        <w:rPr>
          <w:color w:val="313131" w:themeColor="accent4" w:themeShade="80"/>
        </w:rPr>
        <w:t xml:space="preserve"> group.</w:t>
      </w:r>
      <w:r w:rsidR="004859D5" w:rsidRPr="00620376">
        <w:rPr>
          <w:color w:val="313131" w:themeColor="accent4" w:themeShade="80"/>
        </w:rPr>
        <w:t xml:space="preserve">  For example if a charitable contribution is somehow linked back to a terrorist group by the Justice Department, then this could be co</w:t>
      </w:r>
      <w:r w:rsidR="00620376">
        <w:rPr>
          <w:color w:val="313131" w:themeColor="accent4" w:themeShade="80"/>
        </w:rPr>
        <w:t>nstrued as “material support”.</w:t>
      </w:r>
    </w:p>
    <w:sectPr w:rsidR="00312B16" w:rsidRPr="0062037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189" w:rsidRDefault="00B86189" w:rsidP="00620376">
      <w:pPr>
        <w:spacing w:after="0" w:line="240" w:lineRule="auto"/>
      </w:pPr>
      <w:r>
        <w:separator/>
      </w:r>
    </w:p>
  </w:endnote>
  <w:endnote w:type="continuationSeparator" w:id="0">
    <w:p w:rsidR="00B86189" w:rsidRDefault="00B86189" w:rsidP="0062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376" w:rsidRDefault="004E6DE0">
    <w:pPr>
      <w:pStyle w:val="Footer"/>
    </w:pPr>
    <w:r w:rsidRPr="004E6DE0">
      <w:drawing>
        <wp:anchor distT="0" distB="0" distL="114300" distR="114300" simplePos="0" relativeHeight="251659264" behindDoc="1" locked="0" layoutInCell="1" allowOverlap="1" wp14:anchorId="5C9B20EC" wp14:editId="464AE4C3">
          <wp:simplePos x="0" y="0"/>
          <wp:positionH relativeFrom="column">
            <wp:posOffset>1028700</wp:posOffset>
          </wp:positionH>
          <wp:positionV relativeFrom="paragraph">
            <wp:posOffset>-287020</wp:posOffset>
          </wp:positionV>
          <wp:extent cx="4572000" cy="3168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Pr="004E6DE0">
      <mc:AlternateContent>
        <mc:Choice Requires="wps">
          <w:drawing>
            <wp:anchor distT="0" distB="0" distL="114300" distR="114300" simplePos="0" relativeHeight="251660288" behindDoc="0" locked="0" layoutInCell="1" allowOverlap="1" wp14:anchorId="4DD5230C" wp14:editId="04AE6D29">
              <wp:simplePos x="0" y="0"/>
              <wp:positionH relativeFrom="column">
                <wp:posOffset>1143000</wp:posOffset>
              </wp:positionH>
              <wp:positionV relativeFrom="paragraph">
                <wp:posOffset>-312420</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E6DE0" w:rsidRPr="00725607" w:rsidRDefault="004E6DE0" w:rsidP="004E6DE0">
                          <w:pPr>
                            <w:jc w:val="right"/>
                            <w:rPr>
                              <w:b/>
                              <w:color w:val="494949" w:themeColor="accent4" w:themeShade="BF"/>
                            </w:rPr>
                          </w:pPr>
                          <w:r w:rsidRPr="00725607">
                            <w:rPr>
                              <w:b/>
                              <w:color w:val="494949" w:themeColor="accent4" w:themeShade="BF"/>
                            </w:rPr>
                            <w:t xml:space="preserve">WHAT IS THE </w:t>
                          </w:r>
                          <w:r>
                            <w:rPr>
                              <w:b/>
                              <w:color w:val="494949" w:themeColor="accent4" w:themeShade="BF"/>
                            </w:rPr>
                            <w:t>PRICE OF FREEDOM</w:t>
                          </w:r>
                          <w:r w:rsidRPr="00725607">
                            <w:rPr>
                              <w:b/>
                              <w:color w:val="494949" w:themeColor="accent4" w:themeShade="BF"/>
                            </w:rPr>
                            <w:t>?</w:t>
                          </w:r>
                        </w:p>
                        <w:p w:rsidR="004E6DE0" w:rsidRDefault="004E6DE0" w:rsidP="004E6D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D5230C" id="_x0000_t202" coordsize="21600,21600" o:spt="202" path="m,l,21600r21600,l21600,xe">
              <v:stroke joinstyle="miter"/>
              <v:path gradientshapeok="t" o:connecttype="rect"/>
            </v:shapetype>
            <v:shape id="Text Box 3" o:spid="_x0000_s1026" type="#_x0000_t202" style="position:absolute;margin-left:90pt;margin-top:-24.6pt;width:31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" filled="f" stroked="f">
              <v:textbox>
                <w:txbxContent>
                  <w:p w:rsidR="004E6DE0" w:rsidRPr="00725607" w:rsidRDefault="004E6DE0" w:rsidP="004E6DE0">
                    <w:pPr>
                      <w:jc w:val="right"/>
                      <w:rPr>
                        <w:b/>
                        <w:color w:val="494949" w:themeColor="accent4" w:themeShade="BF"/>
                      </w:rPr>
                    </w:pPr>
                    <w:r w:rsidRPr="00725607">
                      <w:rPr>
                        <w:b/>
                        <w:color w:val="494949" w:themeColor="accent4" w:themeShade="BF"/>
                      </w:rPr>
                      <w:t xml:space="preserve">WHAT IS THE </w:t>
                    </w:r>
                    <w:r>
                      <w:rPr>
                        <w:b/>
                        <w:color w:val="494949" w:themeColor="accent4" w:themeShade="BF"/>
                      </w:rPr>
                      <w:t>PRICE OF FREEDOM</w:t>
                    </w:r>
                    <w:r w:rsidRPr="00725607">
                      <w:rPr>
                        <w:b/>
                        <w:color w:val="494949" w:themeColor="accent4" w:themeShade="BF"/>
                      </w:rPr>
                      <w:t>?</w:t>
                    </w:r>
                  </w:p>
                  <w:p w:rsidR="004E6DE0" w:rsidRDefault="004E6DE0" w:rsidP="004E6DE0"/>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189" w:rsidRDefault="00B86189" w:rsidP="00620376">
      <w:pPr>
        <w:spacing w:after="0" w:line="240" w:lineRule="auto"/>
      </w:pPr>
      <w:r>
        <w:separator/>
      </w:r>
    </w:p>
  </w:footnote>
  <w:footnote w:type="continuationSeparator" w:id="0">
    <w:p w:rsidR="00B86189" w:rsidRDefault="00B86189" w:rsidP="006203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D75070"/>
    <w:multiLevelType w:val="hybridMultilevel"/>
    <w:tmpl w:val="2CAE5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71"/>
    <w:rsid w:val="001A3471"/>
    <w:rsid w:val="00312B16"/>
    <w:rsid w:val="003769CD"/>
    <w:rsid w:val="004859D5"/>
    <w:rsid w:val="004E05F9"/>
    <w:rsid w:val="004E6DE0"/>
    <w:rsid w:val="00620376"/>
    <w:rsid w:val="00662183"/>
    <w:rsid w:val="00B8264D"/>
    <w:rsid w:val="00B8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30D32-3505-45DE-B124-7FC1ABF4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12B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2B16"/>
    <w:rPr>
      <w:rFonts w:ascii="Times New Roman" w:eastAsia="Times New Roman" w:hAnsi="Times New Roman" w:cs="Times New Roman"/>
      <w:b/>
      <w:bCs/>
      <w:sz w:val="27"/>
      <w:szCs w:val="27"/>
    </w:rPr>
  </w:style>
  <w:style w:type="paragraph" w:styleId="ListParagraph">
    <w:name w:val="List Paragraph"/>
    <w:basedOn w:val="Normal"/>
    <w:uiPriority w:val="34"/>
    <w:qFormat/>
    <w:rsid w:val="00312B16"/>
    <w:pPr>
      <w:ind w:left="720"/>
      <w:contextualSpacing/>
    </w:pPr>
  </w:style>
  <w:style w:type="paragraph" w:styleId="Header">
    <w:name w:val="header"/>
    <w:basedOn w:val="Normal"/>
    <w:link w:val="HeaderChar"/>
    <w:uiPriority w:val="99"/>
    <w:unhideWhenUsed/>
    <w:rsid w:val="00620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376"/>
  </w:style>
  <w:style w:type="paragraph" w:styleId="Footer">
    <w:name w:val="footer"/>
    <w:basedOn w:val="Normal"/>
    <w:link w:val="FooterChar"/>
    <w:uiPriority w:val="99"/>
    <w:unhideWhenUsed/>
    <w:rsid w:val="00620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649022">
      <w:bodyDiv w:val="1"/>
      <w:marLeft w:val="0"/>
      <w:marRight w:val="0"/>
      <w:marTop w:val="0"/>
      <w:marBottom w:val="0"/>
      <w:divBdr>
        <w:top w:val="none" w:sz="0" w:space="0" w:color="auto"/>
        <w:left w:val="none" w:sz="0" w:space="0" w:color="auto"/>
        <w:bottom w:val="none" w:sz="0" w:space="0" w:color="auto"/>
        <w:right w:val="none" w:sz="0" w:space="0" w:color="auto"/>
      </w:divBdr>
      <w:divsChild>
        <w:div w:id="784619582">
          <w:marLeft w:val="0"/>
          <w:marRight w:val="0"/>
          <w:marTop w:val="0"/>
          <w:marBottom w:val="225"/>
          <w:divBdr>
            <w:top w:val="none" w:sz="0" w:space="0" w:color="auto"/>
            <w:left w:val="none" w:sz="0" w:space="0" w:color="auto"/>
            <w:bottom w:val="single" w:sz="6" w:space="0" w:color="CCCCCC"/>
            <w:right w:val="none" w:sz="0" w:space="0" w:color="auto"/>
          </w:divBdr>
          <w:divsChild>
            <w:div w:id="95029028">
              <w:marLeft w:val="0"/>
              <w:marRight w:val="90"/>
              <w:marTop w:val="0"/>
              <w:marBottom w:val="225"/>
              <w:divBdr>
                <w:top w:val="none" w:sz="0" w:space="0" w:color="auto"/>
                <w:left w:val="none" w:sz="0" w:space="0" w:color="auto"/>
                <w:bottom w:val="none" w:sz="0" w:space="0" w:color="auto"/>
                <w:right w:val="none" w:sz="0" w:space="0" w:color="auto"/>
              </w:divBdr>
              <w:divsChild>
                <w:div w:id="1852647580">
                  <w:marLeft w:val="120"/>
                  <w:marRight w:val="120"/>
                  <w:marTop w:val="120"/>
                  <w:marBottom w:val="120"/>
                  <w:divBdr>
                    <w:top w:val="none" w:sz="0" w:space="0" w:color="auto"/>
                    <w:left w:val="none" w:sz="0" w:space="0" w:color="auto"/>
                    <w:bottom w:val="none" w:sz="0" w:space="0" w:color="auto"/>
                    <w:right w:val="none" w:sz="0" w:space="0" w:color="auto"/>
                  </w:divBdr>
                </w:div>
              </w:divsChild>
            </w:div>
            <w:div w:id="1879511714">
              <w:marLeft w:val="150"/>
              <w:marRight w:val="0"/>
              <w:marTop w:val="165"/>
              <w:marBottom w:val="225"/>
              <w:divBdr>
                <w:top w:val="none" w:sz="0" w:space="0" w:color="auto"/>
                <w:left w:val="none" w:sz="0" w:space="0" w:color="auto"/>
                <w:bottom w:val="none" w:sz="0" w:space="0" w:color="auto"/>
                <w:right w:val="none" w:sz="0" w:space="0" w:color="auto"/>
              </w:divBdr>
            </w:div>
            <w:div w:id="1592852550">
              <w:marLeft w:val="150"/>
              <w:marRight w:val="0"/>
              <w:marTop w:val="165"/>
              <w:marBottom w:val="225"/>
              <w:divBdr>
                <w:top w:val="none" w:sz="0" w:space="0" w:color="auto"/>
                <w:left w:val="none" w:sz="0" w:space="0" w:color="auto"/>
                <w:bottom w:val="none" w:sz="0" w:space="0" w:color="auto"/>
                <w:right w:val="none" w:sz="0" w:space="0" w:color="auto"/>
              </w:divBdr>
            </w:div>
            <w:div w:id="57021025">
              <w:marLeft w:val="0"/>
              <w:marRight w:val="0"/>
              <w:marTop w:val="0"/>
              <w:marBottom w:val="0"/>
              <w:divBdr>
                <w:top w:val="none" w:sz="0" w:space="0" w:color="auto"/>
                <w:left w:val="none" w:sz="0" w:space="0" w:color="auto"/>
                <w:bottom w:val="none" w:sz="0" w:space="0" w:color="auto"/>
                <w:right w:val="none" w:sz="0" w:space="0" w:color="auto"/>
              </w:divBdr>
            </w:div>
          </w:divsChild>
        </w:div>
        <w:div w:id="1277326879">
          <w:marLeft w:val="0"/>
          <w:marRight w:val="0"/>
          <w:marTop w:val="0"/>
          <w:marBottom w:val="225"/>
          <w:divBdr>
            <w:top w:val="none" w:sz="0" w:space="0" w:color="auto"/>
            <w:left w:val="none" w:sz="0" w:space="0" w:color="auto"/>
            <w:bottom w:val="single" w:sz="6" w:space="0" w:color="CCCCCC"/>
            <w:right w:val="none" w:sz="0" w:space="0" w:color="auto"/>
          </w:divBdr>
          <w:divsChild>
            <w:div w:id="828209192">
              <w:marLeft w:val="0"/>
              <w:marRight w:val="90"/>
              <w:marTop w:val="0"/>
              <w:marBottom w:val="225"/>
              <w:divBdr>
                <w:top w:val="none" w:sz="0" w:space="0" w:color="auto"/>
                <w:left w:val="none" w:sz="0" w:space="0" w:color="auto"/>
                <w:bottom w:val="none" w:sz="0" w:space="0" w:color="auto"/>
                <w:right w:val="none" w:sz="0" w:space="0" w:color="auto"/>
              </w:divBdr>
              <w:divsChild>
                <w:div w:id="1378897176">
                  <w:marLeft w:val="120"/>
                  <w:marRight w:val="120"/>
                  <w:marTop w:val="120"/>
                  <w:marBottom w:val="120"/>
                  <w:divBdr>
                    <w:top w:val="none" w:sz="0" w:space="0" w:color="auto"/>
                    <w:left w:val="none" w:sz="0" w:space="0" w:color="auto"/>
                    <w:bottom w:val="none" w:sz="0" w:space="0" w:color="auto"/>
                    <w:right w:val="none" w:sz="0" w:space="0" w:color="auto"/>
                  </w:divBdr>
                </w:div>
              </w:divsChild>
            </w:div>
            <w:div w:id="1242527255">
              <w:marLeft w:val="150"/>
              <w:marRight w:val="0"/>
              <w:marTop w:val="165"/>
              <w:marBottom w:val="225"/>
              <w:divBdr>
                <w:top w:val="none" w:sz="0" w:space="0" w:color="auto"/>
                <w:left w:val="none" w:sz="0" w:space="0" w:color="auto"/>
                <w:bottom w:val="none" w:sz="0" w:space="0" w:color="auto"/>
                <w:right w:val="none" w:sz="0" w:space="0" w:color="auto"/>
              </w:divBdr>
            </w:div>
            <w:div w:id="1760440087">
              <w:marLeft w:val="150"/>
              <w:marRight w:val="0"/>
              <w:marTop w:val="165"/>
              <w:marBottom w:val="225"/>
              <w:divBdr>
                <w:top w:val="none" w:sz="0" w:space="0" w:color="auto"/>
                <w:left w:val="none" w:sz="0" w:space="0" w:color="auto"/>
                <w:bottom w:val="none" w:sz="0" w:space="0" w:color="auto"/>
                <w:right w:val="none" w:sz="0" w:space="0" w:color="auto"/>
              </w:divBdr>
            </w:div>
            <w:div w:id="227542845">
              <w:marLeft w:val="0"/>
              <w:marRight w:val="0"/>
              <w:marTop w:val="0"/>
              <w:marBottom w:val="0"/>
              <w:divBdr>
                <w:top w:val="none" w:sz="0" w:space="0" w:color="auto"/>
                <w:left w:val="none" w:sz="0" w:space="0" w:color="auto"/>
                <w:bottom w:val="none" w:sz="0" w:space="0" w:color="auto"/>
                <w:right w:val="none" w:sz="0" w:space="0" w:color="auto"/>
              </w:divBdr>
            </w:div>
          </w:divsChild>
        </w:div>
        <w:div w:id="578171353">
          <w:marLeft w:val="0"/>
          <w:marRight w:val="0"/>
          <w:marTop w:val="0"/>
          <w:marBottom w:val="225"/>
          <w:divBdr>
            <w:top w:val="none" w:sz="0" w:space="0" w:color="auto"/>
            <w:left w:val="none" w:sz="0" w:space="0" w:color="auto"/>
            <w:bottom w:val="single" w:sz="6" w:space="0" w:color="CCCCCC"/>
            <w:right w:val="none" w:sz="0" w:space="0" w:color="auto"/>
          </w:divBdr>
          <w:divsChild>
            <w:div w:id="1419012694">
              <w:marLeft w:val="0"/>
              <w:marRight w:val="90"/>
              <w:marTop w:val="0"/>
              <w:marBottom w:val="225"/>
              <w:divBdr>
                <w:top w:val="none" w:sz="0" w:space="0" w:color="auto"/>
                <w:left w:val="none" w:sz="0" w:space="0" w:color="auto"/>
                <w:bottom w:val="none" w:sz="0" w:space="0" w:color="auto"/>
                <w:right w:val="none" w:sz="0" w:space="0" w:color="auto"/>
              </w:divBdr>
              <w:divsChild>
                <w:div w:id="544683197">
                  <w:marLeft w:val="120"/>
                  <w:marRight w:val="120"/>
                  <w:marTop w:val="120"/>
                  <w:marBottom w:val="120"/>
                  <w:divBdr>
                    <w:top w:val="none" w:sz="0" w:space="0" w:color="auto"/>
                    <w:left w:val="none" w:sz="0" w:space="0" w:color="auto"/>
                    <w:bottom w:val="none" w:sz="0" w:space="0" w:color="auto"/>
                    <w:right w:val="none" w:sz="0" w:space="0" w:color="auto"/>
                  </w:divBdr>
                </w:div>
              </w:divsChild>
            </w:div>
            <w:div w:id="23681343">
              <w:marLeft w:val="150"/>
              <w:marRight w:val="0"/>
              <w:marTop w:val="165"/>
              <w:marBottom w:val="225"/>
              <w:divBdr>
                <w:top w:val="none" w:sz="0" w:space="0" w:color="auto"/>
                <w:left w:val="none" w:sz="0" w:space="0" w:color="auto"/>
                <w:bottom w:val="none" w:sz="0" w:space="0" w:color="auto"/>
                <w:right w:val="none" w:sz="0" w:space="0" w:color="auto"/>
              </w:divBdr>
            </w:div>
            <w:div w:id="2067877666">
              <w:marLeft w:val="150"/>
              <w:marRight w:val="0"/>
              <w:marTop w:val="165"/>
              <w:marBottom w:val="225"/>
              <w:divBdr>
                <w:top w:val="none" w:sz="0" w:space="0" w:color="auto"/>
                <w:left w:val="none" w:sz="0" w:space="0" w:color="auto"/>
                <w:bottom w:val="none" w:sz="0" w:space="0" w:color="auto"/>
                <w:right w:val="none" w:sz="0" w:space="0" w:color="auto"/>
              </w:divBdr>
            </w:div>
            <w:div w:id="2063433060">
              <w:marLeft w:val="0"/>
              <w:marRight w:val="0"/>
              <w:marTop w:val="0"/>
              <w:marBottom w:val="0"/>
              <w:divBdr>
                <w:top w:val="none" w:sz="0" w:space="0" w:color="auto"/>
                <w:left w:val="none" w:sz="0" w:space="0" w:color="auto"/>
                <w:bottom w:val="none" w:sz="0" w:space="0" w:color="auto"/>
                <w:right w:val="none" w:sz="0" w:space="0" w:color="auto"/>
              </w:divBdr>
            </w:div>
          </w:divsChild>
        </w:div>
        <w:div w:id="1177689980">
          <w:marLeft w:val="0"/>
          <w:marRight w:val="0"/>
          <w:marTop w:val="0"/>
          <w:marBottom w:val="225"/>
          <w:divBdr>
            <w:top w:val="none" w:sz="0" w:space="0" w:color="auto"/>
            <w:left w:val="none" w:sz="0" w:space="0" w:color="auto"/>
            <w:bottom w:val="single" w:sz="6" w:space="0" w:color="CCCCCC"/>
            <w:right w:val="none" w:sz="0" w:space="0" w:color="auto"/>
          </w:divBdr>
          <w:divsChild>
            <w:div w:id="874851930">
              <w:marLeft w:val="0"/>
              <w:marRight w:val="90"/>
              <w:marTop w:val="0"/>
              <w:marBottom w:val="225"/>
              <w:divBdr>
                <w:top w:val="none" w:sz="0" w:space="0" w:color="auto"/>
                <w:left w:val="none" w:sz="0" w:space="0" w:color="auto"/>
                <w:bottom w:val="none" w:sz="0" w:space="0" w:color="auto"/>
                <w:right w:val="none" w:sz="0" w:space="0" w:color="auto"/>
              </w:divBdr>
              <w:divsChild>
                <w:div w:id="1940794179">
                  <w:marLeft w:val="120"/>
                  <w:marRight w:val="120"/>
                  <w:marTop w:val="120"/>
                  <w:marBottom w:val="120"/>
                  <w:divBdr>
                    <w:top w:val="none" w:sz="0" w:space="0" w:color="auto"/>
                    <w:left w:val="none" w:sz="0" w:space="0" w:color="auto"/>
                    <w:bottom w:val="none" w:sz="0" w:space="0" w:color="auto"/>
                    <w:right w:val="none" w:sz="0" w:space="0" w:color="auto"/>
                  </w:divBdr>
                </w:div>
              </w:divsChild>
            </w:div>
            <w:div w:id="1088119678">
              <w:marLeft w:val="150"/>
              <w:marRight w:val="0"/>
              <w:marTop w:val="165"/>
              <w:marBottom w:val="225"/>
              <w:divBdr>
                <w:top w:val="none" w:sz="0" w:space="0" w:color="auto"/>
                <w:left w:val="none" w:sz="0" w:space="0" w:color="auto"/>
                <w:bottom w:val="none" w:sz="0" w:space="0" w:color="auto"/>
                <w:right w:val="none" w:sz="0" w:space="0" w:color="auto"/>
              </w:divBdr>
            </w:div>
            <w:div w:id="1896963964">
              <w:marLeft w:val="150"/>
              <w:marRight w:val="0"/>
              <w:marTop w:val="165"/>
              <w:marBottom w:val="225"/>
              <w:divBdr>
                <w:top w:val="none" w:sz="0" w:space="0" w:color="auto"/>
                <w:left w:val="none" w:sz="0" w:space="0" w:color="auto"/>
                <w:bottom w:val="none" w:sz="0" w:space="0" w:color="auto"/>
                <w:right w:val="none" w:sz="0" w:space="0" w:color="auto"/>
              </w:divBdr>
            </w:div>
            <w:div w:id="837506029">
              <w:marLeft w:val="0"/>
              <w:marRight w:val="0"/>
              <w:marTop w:val="0"/>
              <w:marBottom w:val="0"/>
              <w:divBdr>
                <w:top w:val="none" w:sz="0" w:space="0" w:color="auto"/>
                <w:left w:val="none" w:sz="0" w:space="0" w:color="auto"/>
                <w:bottom w:val="none" w:sz="0" w:space="0" w:color="auto"/>
                <w:right w:val="none" w:sz="0" w:space="0" w:color="auto"/>
              </w:divBdr>
            </w:div>
          </w:divsChild>
        </w:div>
        <w:div w:id="696733534">
          <w:marLeft w:val="0"/>
          <w:marRight w:val="0"/>
          <w:marTop w:val="0"/>
          <w:marBottom w:val="225"/>
          <w:divBdr>
            <w:top w:val="none" w:sz="0" w:space="0" w:color="auto"/>
            <w:left w:val="none" w:sz="0" w:space="0" w:color="auto"/>
            <w:bottom w:val="single" w:sz="6" w:space="0" w:color="CCCCCC"/>
            <w:right w:val="none" w:sz="0" w:space="0" w:color="auto"/>
          </w:divBdr>
          <w:divsChild>
            <w:div w:id="528684514">
              <w:marLeft w:val="0"/>
              <w:marRight w:val="90"/>
              <w:marTop w:val="0"/>
              <w:marBottom w:val="225"/>
              <w:divBdr>
                <w:top w:val="none" w:sz="0" w:space="0" w:color="auto"/>
                <w:left w:val="none" w:sz="0" w:space="0" w:color="auto"/>
                <w:bottom w:val="none" w:sz="0" w:space="0" w:color="auto"/>
                <w:right w:val="none" w:sz="0" w:space="0" w:color="auto"/>
              </w:divBdr>
              <w:divsChild>
                <w:div w:id="1968898889">
                  <w:marLeft w:val="120"/>
                  <w:marRight w:val="120"/>
                  <w:marTop w:val="120"/>
                  <w:marBottom w:val="120"/>
                  <w:divBdr>
                    <w:top w:val="none" w:sz="0" w:space="0" w:color="auto"/>
                    <w:left w:val="none" w:sz="0" w:space="0" w:color="auto"/>
                    <w:bottom w:val="none" w:sz="0" w:space="0" w:color="auto"/>
                    <w:right w:val="none" w:sz="0" w:space="0" w:color="auto"/>
                  </w:divBdr>
                </w:div>
              </w:divsChild>
            </w:div>
            <w:div w:id="159781332">
              <w:marLeft w:val="150"/>
              <w:marRight w:val="0"/>
              <w:marTop w:val="165"/>
              <w:marBottom w:val="225"/>
              <w:divBdr>
                <w:top w:val="none" w:sz="0" w:space="0" w:color="auto"/>
                <w:left w:val="none" w:sz="0" w:space="0" w:color="auto"/>
                <w:bottom w:val="none" w:sz="0" w:space="0" w:color="auto"/>
                <w:right w:val="none" w:sz="0" w:space="0" w:color="auto"/>
              </w:divBdr>
            </w:div>
            <w:div w:id="52429394">
              <w:marLeft w:val="150"/>
              <w:marRight w:val="0"/>
              <w:marTop w:val="165"/>
              <w:marBottom w:val="225"/>
              <w:divBdr>
                <w:top w:val="none" w:sz="0" w:space="0" w:color="auto"/>
                <w:left w:val="none" w:sz="0" w:space="0" w:color="auto"/>
                <w:bottom w:val="none" w:sz="0" w:space="0" w:color="auto"/>
                <w:right w:val="none" w:sz="0" w:space="0" w:color="auto"/>
              </w:divBdr>
            </w:div>
            <w:div w:id="315960084">
              <w:marLeft w:val="0"/>
              <w:marRight w:val="0"/>
              <w:marTop w:val="0"/>
              <w:marBottom w:val="0"/>
              <w:divBdr>
                <w:top w:val="none" w:sz="0" w:space="0" w:color="auto"/>
                <w:left w:val="none" w:sz="0" w:space="0" w:color="auto"/>
                <w:bottom w:val="none" w:sz="0" w:space="0" w:color="auto"/>
                <w:right w:val="none" w:sz="0" w:space="0" w:color="auto"/>
              </w:divBdr>
            </w:div>
          </w:divsChild>
        </w:div>
        <w:div w:id="1804231165">
          <w:marLeft w:val="0"/>
          <w:marRight w:val="0"/>
          <w:marTop w:val="0"/>
          <w:marBottom w:val="225"/>
          <w:divBdr>
            <w:top w:val="none" w:sz="0" w:space="0" w:color="auto"/>
            <w:left w:val="none" w:sz="0" w:space="0" w:color="auto"/>
            <w:bottom w:val="single" w:sz="6" w:space="0" w:color="CCCCCC"/>
            <w:right w:val="none" w:sz="0" w:space="0" w:color="auto"/>
          </w:divBdr>
          <w:divsChild>
            <w:div w:id="1992057137">
              <w:marLeft w:val="0"/>
              <w:marRight w:val="90"/>
              <w:marTop w:val="0"/>
              <w:marBottom w:val="225"/>
              <w:divBdr>
                <w:top w:val="none" w:sz="0" w:space="0" w:color="auto"/>
                <w:left w:val="none" w:sz="0" w:space="0" w:color="auto"/>
                <w:bottom w:val="none" w:sz="0" w:space="0" w:color="auto"/>
                <w:right w:val="none" w:sz="0" w:space="0" w:color="auto"/>
              </w:divBdr>
              <w:divsChild>
                <w:div w:id="1611820089">
                  <w:marLeft w:val="120"/>
                  <w:marRight w:val="120"/>
                  <w:marTop w:val="120"/>
                  <w:marBottom w:val="120"/>
                  <w:divBdr>
                    <w:top w:val="none" w:sz="0" w:space="0" w:color="auto"/>
                    <w:left w:val="none" w:sz="0" w:space="0" w:color="auto"/>
                    <w:bottom w:val="none" w:sz="0" w:space="0" w:color="auto"/>
                    <w:right w:val="none" w:sz="0" w:space="0" w:color="auto"/>
                  </w:divBdr>
                </w:div>
              </w:divsChild>
            </w:div>
            <w:div w:id="1093160211">
              <w:marLeft w:val="150"/>
              <w:marRight w:val="0"/>
              <w:marTop w:val="165"/>
              <w:marBottom w:val="225"/>
              <w:divBdr>
                <w:top w:val="none" w:sz="0" w:space="0" w:color="auto"/>
                <w:left w:val="none" w:sz="0" w:space="0" w:color="auto"/>
                <w:bottom w:val="none" w:sz="0" w:space="0" w:color="auto"/>
                <w:right w:val="none" w:sz="0" w:space="0" w:color="auto"/>
              </w:divBdr>
            </w:div>
            <w:div w:id="1790320363">
              <w:marLeft w:val="150"/>
              <w:marRight w:val="0"/>
              <w:marTop w:val="165"/>
              <w:marBottom w:val="225"/>
              <w:divBdr>
                <w:top w:val="none" w:sz="0" w:space="0" w:color="auto"/>
                <w:left w:val="none" w:sz="0" w:space="0" w:color="auto"/>
                <w:bottom w:val="none" w:sz="0" w:space="0" w:color="auto"/>
                <w:right w:val="none" w:sz="0" w:space="0" w:color="auto"/>
              </w:divBdr>
            </w:div>
            <w:div w:id="879631194">
              <w:marLeft w:val="0"/>
              <w:marRight w:val="0"/>
              <w:marTop w:val="0"/>
              <w:marBottom w:val="0"/>
              <w:divBdr>
                <w:top w:val="none" w:sz="0" w:space="0" w:color="auto"/>
                <w:left w:val="none" w:sz="0" w:space="0" w:color="auto"/>
                <w:bottom w:val="none" w:sz="0" w:space="0" w:color="auto"/>
                <w:right w:val="none" w:sz="0" w:space="0" w:color="auto"/>
              </w:divBdr>
            </w:div>
          </w:divsChild>
        </w:div>
        <w:div w:id="1084718894">
          <w:marLeft w:val="0"/>
          <w:marRight w:val="0"/>
          <w:marTop w:val="0"/>
          <w:marBottom w:val="0"/>
          <w:divBdr>
            <w:top w:val="none" w:sz="0" w:space="0" w:color="auto"/>
            <w:left w:val="none" w:sz="0" w:space="0" w:color="auto"/>
            <w:bottom w:val="none" w:sz="0" w:space="0" w:color="auto"/>
            <w:right w:val="none" w:sz="0" w:space="0" w:color="auto"/>
          </w:divBdr>
        </w:div>
        <w:div w:id="2069069131">
          <w:marLeft w:val="0"/>
          <w:marRight w:val="0"/>
          <w:marTop w:val="0"/>
          <w:marBottom w:val="0"/>
          <w:divBdr>
            <w:top w:val="none" w:sz="0" w:space="0" w:color="auto"/>
            <w:left w:val="none" w:sz="0" w:space="0" w:color="auto"/>
            <w:bottom w:val="none" w:sz="0" w:space="0" w:color="auto"/>
            <w:right w:val="none" w:sz="0" w:space="0" w:color="auto"/>
          </w:divBdr>
          <w:divsChild>
            <w:div w:id="580523023">
              <w:marLeft w:val="120"/>
              <w:marRight w:val="120"/>
              <w:marTop w:val="120"/>
              <w:marBottom w:val="120"/>
              <w:divBdr>
                <w:top w:val="none" w:sz="0" w:space="0" w:color="auto"/>
                <w:left w:val="none" w:sz="0" w:space="0" w:color="auto"/>
                <w:bottom w:val="none" w:sz="0" w:space="0" w:color="auto"/>
                <w:right w:val="none" w:sz="0" w:space="0" w:color="auto"/>
              </w:divBdr>
            </w:div>
            <w:div w:id="596139605">
              <w:marLeft w:val="120"/>
              <w:marRight w:val="120"/>
              <w:marTop w:val="120"/>
              <w:marBottom w:val="120"/>
              <w:divBdr>
                <w:top w:val="none" w:sz="0" w:space="0" w:color="auto"/>
                <w:left w:val="none" w:sz="0" w:space="0" w:color="auto"/>
                <w:bottom w:val="none" w:sz="0" w:space="0" w:color="auto"/>
                <w:right w:val="none" w:sz="0" w:space="0" w:color="auto"/>
              </w:divBdr>
            </w:div>
            <w:div w:id="2097824292">
              <w:marLeft w:val="120"/>
              <w:marRight w:val="120"/>
              <w:marTop w:val="120"/>
              <w:marBottom w:val="120"/>
              <w:divBdr>
                <w:top w:val="none" w:sz="0" w:space="0" w:color="auto"/>
                <w:left w:val="none" w:sz="0" w:space="0" w:color="auto"/>
                <w:bottom w:val="none" w:sz="0" w:space="0" w:color="auto"/>
                <w:right w:val="none" w:sz="0" w:space="0" w:color="auto"/>
              </w:divBdr>
            </w:div>
            <w:div w:id="194193099">
              <w:marLeft w:val="120"/>
              <w:marRight w:val="120"/>
              <w:marTop w:val="120"/>
              <w:marBottom w:val="120"/>
              <w:divBdr>
                <w:top w:val="none" w:sz="0" w:space="0" w:color="auto"/>
                <w:left w:val="none" w:sz="0" w:space="0" w:color="auto"/>
                <w:bottom w:val="none" w:sz="0" w:space="0" w:color="auto"/>
                <w:right w:val="none" w:sz="0" w:space="0" w:color="auto"/>
              </w:divBdr>
            </w:div>
            <w:div w:id="1311667805">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588731029">
      <w:bodyDiv w:val="1"/>
      <w:marLeft w:val="0"/>
      <w:marRight w:val="0"/>
      <w:marTop w:val="0"/>
      <w:marBottom w:val="0"/>
      <w:divBdr>
        <w:top w:val="none" w:sz="0" w:space="0" w:color="auto"/>
        <w:left w:val="none" w:sz="0" w:space="0" w:color="auto"/>
        <w:bottom w:val="none" w:sz="0" w:space="0" w:color="auto"/>
        <w:right w:val="none" w:sz="0" w:space="0" w:color="auto"/>
      </w:divBdr>
      <w:divsChild>
        <w:div w:id="19203373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McHale, Susan</dc:creator>
  <cp:keywords/>
  <dc:description/>
  <cp:lastModifiedBy>Schlasner, Jacqueline</cp:lastModifiedBy>
  <cp:revision>4</cp:revision>
  <dcterms:created xsi:type="dcterms:W3CDTF">2017-03-11T17:08:00Z</dcterms:created>
  <dcterms:modified xsi:type="dcterms:W3CDTF">2017-04-11T15:31:00Z</dcterms:modified>
</cp:coreProperties>
</file>