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02FA5D" w14:textId="5CE2C9A3" w:rsidR="00446C13" w:rsidRDefault="00485BA3" w:rsidP="001872E7">
      <w:pPr>
        <w:pStyle w:val="Title"/>
      </w:pPr>
      <w:r>
        <w:t xml:space="preserve">Pitch </w:t>
      </w:r>
      <w:r w:rsidR="00D735E0">
        <w:t>RUBRIC</w:t>
      </w:r>
    </w:p>
    <w:p w14:paraId="52044B99" w14:textId="4481C416" w:rsidR="00485BA3" w:rsidRDefault="008E2519" w:rsidP="0004669B">
      <w:pPr>
        <w:spacing w:after="0" w:line="240" w:lineRule="auto"/>
        <w:contextualSpacing/>
      </w:pPr>
      <w:r>
        <w:t xml:space="preserve">Follow the guidelines </w:t>
      </w:r>
      <w:r w:rsidR="0004669B">
        <w:t>outlined i</w:t>
      </w:r>
      <w:r>
        <w:t>n the rubric below</w:t>
      </w:r>
      <w:r w:rsidR="00CF2FCF">
        <w:t xml:space="preserve"> to develop your pitch for the general manager. </w:t>
      </w:r>
      <w:r w:rsidR="0004669B">
        <w:t>Be sure to i</w:t>
      </w:r>
      <w:r w:rsidR="00CF2FCF">
        <w:t>nclude all of the following</w:t>
      </w:r>
      <w:r w:rsidR="00B72676">
        <w:t xml:space="preserve"> in your pitch</w:t>
      </w:r>
      <w:r w:rsidR="00CF2FCF">
        <w:t xml:space="preserve">: </w:t>
      </w:r>
    </w:p>
    <w:p w14:paraId="790923A6" w14:textId="098723A3" w:rsidR="00485BA3" w:rsidRPr="008E2519" w:rsidRDefault="00485BA3" w:rsidP="008E2519">
      <w:pPr>
        <w:pStyle w:val="ListParagraph"/>
        <w:numPr>
          <w:ilvl w:val="0"/>
          <w:numId w:val="13"/>
        </w:numPr>
        <w:spacing w:line="240" w:lineRule="auto"/>
      </w:pPr>
      <w:r w:rsidRPr="008E2519">
        <w:t>The 11</w:t>
      </w:r>
      <w:r w:rsidR="00BF3D42">
        <w:t>-</w:t>
      </w:r>
      <w:r w:rsidRPr="008E2519">
        <w:t>player</w:t>
      </w:r>
      <w:r w:rsidR="00BF3D42">
        <w:t xml:space="preserve"> </w:t>
      </w:r>
      <w:r w:rsidRPr="008E2519">
        <w:t>lineup chosen for option 1, or the recommended player trade for option 2.</w:t>
      </w:r>
    </w:p>
    <w:p w14:paraId="6EA9957B" w14:textId="77777777" w:rsidR="00485BA3" w:rsidRPr="008E2519" w:rsidRDefault="00485BA3" w:rsidP="008E2519">
      <w:pPr>
        <w:pStyle w:val="ListParagraph"/>
        <w:numPr>
          <w:ilvl w:val="0"/>
          <w:numId w:val="13"/>
        </w:numPr>
        <w:spacing w:line="240" w:lineRule="auto"/>
      </w:pPr>
      <w:r w:rsidRPr="008E2519">
        <w:t>The data used to make these choices.</w:t>
      </w:r>
    </w:p>
    <w:p w14:paraId="7FCD097B" w14:textId="5F3504B6" w:rsidR="00485BA3" w:rsidRPr="008E2519" w:rsidRDefault="00485BA3" w:rsidP="008E2519">
      <w:pPr>
        <w:pStyle w:val="ListParagraph"/>
        <w:numPr>
          <w:ilvl w:val="0"/>
          <w:numId w:val="13"/>
        </w:numPr>
        <w:spacing w:line="240" w:lineRule="auto"/>
      </w:pPr>
      <w:r w:rsidRPr="008E2519">
        <w:t>The rationale behind these choices. </w:t>
      </w:r>
    </w:p>
    <w:tbl>
      <w:tblPr>
        <w:tblStyle w:val="TableGrid"/>
        <w:tblW w:w="1281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2357"/>
        <w:gridCol w:w="2137"/>
        <w:gridCol w:w="1980"/>
        <w:gridCol w:w="1980"/>
        <w:gridCol w:w="3371"/>
      </w:tblGrid>
      <w:tr w:rsidR="00125889" w14:paraId="2A38D68C" w14:textId="32217FF8" w:rsidTr="0004669B">
        <w:trPr>
          <w:cantSplit/>
          <w:tblHeader/>
        </w:trPr>
        <w:tc>
          <w:tcPr>
            <w:tcW w:w="986" w:type="dxa"/>
            <w:shd w:val="clear" w:color="auto" w:fill="3E5C61" w:themeFill="accent2"/>
          </w:tcPr>
          <w:p w14:paraId="4A9B6A37" w14:textId="52EE33D0" w:rsidR="00125889" w:rsidRPr="0053328A" w:rsidRDefault="00125889" w:rsidP="00DF2D52">
            <w:pPr>
              <w:pStyle w:val="TableColumnHeaders"/>
            </w:pPr>
          </w:p>
        </w:tc>
        <w:tc>
          <w:tcPr>
            <w:tcW w:w="2357" w:type="dxa"/>
            <w:shd w:val="clear" w:color="auto" w:fill="3E5C61" w:themeFill="accent2"/>
          </w:tcPr>
          <w:p w14:paraId="4746A941" w14:textId="70FBBF7A" w:rsidR="00125889" w:rsidRPr="0053328A" w:rsidRDefault="00485BA3" w:rsidP="00DF2D52">
            <w:pPr>
              <w:pStyle w:val="TableColumnHeaders"/>
            </w:pPr>
            <w:r>
              <w:t>Selected Option</w:t>
            </w:r>
          </w:p>
        </w:tc>
        <w:tc>
          <w:tcPr>
            <w:tcW w:w="2137" w:type="dxa"/>
            <w:shd w:val="clear" w:color="auto" w:fill="3E5C61" w:themeFill="accent2"/>
          </w:tcPr>
          <w:p w14:paraId="7CD80451" w14:textId="024A5D82" w:rsidR="00125889" w:rsidRPr="0053328A" w:rsidRDefault="00D735E0" w:rsidP="00DF2D52">
            <w:pPr>
              <w:pStyle w:val="TableColumnHeaders"/>
            </w:pPr>
            <w:r>
              <w:t>Lineup or Trade</w:t>
            </w:r>
          </w:p>
        </w:tc>
        <w:tc>
          <w:tcPr>
            <w:tcW w:w="1980" w:type="dxa"/>
            <w:shd w:val="clear" w:color="auto" w:fill="3E5C61" w:themeFill="accent2"/>
          </w:tcPr>
          <w:p w14:paraId="062A923D" w14:textId="01989155" w:rsidR="00125889" w:rsidRPr="0053328A" w:rsidRDefault="00D735E0" w:rsidP="00DF2D52">
            <w:pPr>
              <w:pStyle w:val="TableColumnHeaders"/>
            </w:pPr>
            <w:r>
              <w:t>Data</w:t>
            </w:r>
          </w:p>
        </w:tc>
        <w:tc>
          <w:tcPr>
            <w:tcW w:w="1980" w:type="dxa"/>
            <w:shd w:val="clear" w:color="auto" w:fill="3E5C61" w:themeFill="accent2"/>
          </w:tcPr>
          <w:p w14:paraId="1C9B8363" w14:textId="170B9784" w:rsidR="00125889" w:rsidRPr="0053328A" w:rsidRDefault="00D735E0" w:rsidP="00DF2D52">
            <w:pPr>
              <w:pStyle w:val="TableColumnHeaders"/>
            </w:pPr>
            <w:r>
              <w:t>Rationale</w:t>
            </w:r>
          </w:p>
        </w:tc>
        <w:tc>
          <w:tcPr>
            <w:tcW w:w="3371" w:type="dxa"/>
            <w:shd w:val="clear" w:color="auto" w:fill="3E5C61" w:themeFill="accent2"/>
          </w:tcPr>
          <w:p w14:paraId="4A37139A" w14:textId="4087AB3A" w:rsidR="00125889" w:rsidRDefault="003945D8" w:rsidP="00DF2D52">
            <w:pPr>
              <w:pStyle w:val="TableColumnHeaders"/>
            </w:pPr>
            <w:r>
              <w:t>Presentation</w:t>
            </w:r>
          </w:p>
        </w:tc>
      </w:tr>
      <w:tr w:rsidR="00125889" w14:paraId="1E63DEC2" w14:textId="3DF7D1DD" w:rsidTr="0004669B">
        <w:tc>
          <w:tcPr>
            <w:tcW w:w="986" w:type="dxa"/>
          </w:tcPr>
          <w:p w14:paraId="618B8F06" w14:textId="341B0F54" w:rsidR="00125889" w:rsidRPr="00125889" w:rsidRDefault="00BA451E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5889" w:rsidRPr="00125889">
              <w:rPr>
                <w:sz w:val="20"/>
                <w:szCs w:val="20"/>
              </w:rPr>
              <w:t xml:space="preserve"> Points</w:t>
            </w:r>
          </w:p>
        </w:tc>
        <w:tc>
          <w:tcPr>
            <w:tcW w:w="2357" w:type="dxa"/>
          </w:tcPr>
          <w:p w14:paraId="41FAD509" w14:textId="14388200" w:rsidR="00125889" w:rsidRPr="00125889" w:rsidRDefault="003945D8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selected option</w:t>
            </w:r>
            <w:r w:rsidR="008E25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8E2519">
              <w:rPr>
                <w:sz w:val="18"/>
                <w:szCs w:val="18"/>
              </w:rPr>
              <w:t>1)lineup or 2)trade, i</w:t>
            </w:r>
            <w:r>
              <w:rPr>
                <w:sz w:val="18"/>
                <w:szCs w:val="18"/>
              </w:rPr>
              <w:t>s communicated at the start of the presentation</w:t>
            </w:r>
            <w:r w:rsidR="008E2519">
              <w:rPr>
                <w:sz w:val="18"/>
                <w:szCs w:val="18"/>
              </w:rPr>
              <w:t>, and t</w:t>
            </w:r>
            <w:r>
              <w:rPr>
                <w:sz w:val="18"/>
                <w:szCs w:val="18"/>
              </w:rPr>
              <w:t xml:space="preserve">he reason for selecting this option is </w:t>
            </w:r>
            <w:r w:rsidR="008E2519">
              <w:rPr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ed. </w:t>
            </w:r>
          </w:p>
        </w:tc>
        <w:tc>
          <w:tcPr>
            <w:tcW w:w="2137" w:type="dxa"/>
          </w:tcPr>
          <w:p w14:paraId="508313F1" w14:textId="1A1D4D09" w:rsidR="00125889" w:rsidRDefault="003945D8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Every member of the 11 player-lineup is listed. </w:t>
            </w:r>
          </w:p>
          <w:p w14:paraId="698073FF" w14:textId="2FC80723" w:rsidR="003945D8" w:rsidRDefault="008E2519" w:rsidP="008E2519">
            <w:pPr>
              <w:pStyle w:val="TableBody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4ECB9DC6" w14:textId="3EDBF99D" w:rsidR="003945D8" w:rsidRPr="00125889" w:rsidRDefault="00BA451E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3945D8">
              <w:rPr>
                <w:sz w:val="18"/>
                <w:szCs w:val="18"/>
              </w:rPr>
              <w:t xml:space="preserve">player trade is </w:t>
            </w:r>
            <w:r>
              <w:rPr>
                <w:sz w:val="18"/>
                <w:szCs w:val="18"/>
              </w:rPr>
              <w:t>recommended</w:t>
            </w:r>
            <w:r w:rsidR="003945D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980" w:type="dxa"/>
          </w:tcPr>
          <w:p w14:paraId="74709728" w14:textId="6BBD56C4" w:rsidR="00125889" w:rsidRPr="003945D8" w:rsidRDefault="00D735E0" w:rsidP="00D735E0">
            <w:pPr>
              <w:spacing w:after="0" w:line="240" w:lineRule="auto"/>
              <w:rPr>
                <w:sz w:val="18"/>
                <w:szCs w:val="18"/>
              </w:rPr>
            </w:pPr>
            <w:r w:rsidRPr="003945D8">
              <w:rPr>
                <w:sz w:val="18"/>
                <w:szCs w:val="18"/>
              </w:rPr>
              <w:t xml:space="preserve">All </w:t>
            </w:r>
            <w:r w:rsidR="003945D8">
              <w:rPr>
                <w:sz w:val="18"/>
                <w:szCs w:val="18"/>
              </w:rPr>
              <w:t>statistics</w:t>
            </w:r>
            <w:r w:rsidRPr="003945D8">
              <w:rPr>
                <w:sz w:val="18"/>
                <w:szCs w:val="18"/>
              </w:rPr>
              <w:t xml:space="preserve"> presented </w:t>
            </w:r>
            <w:r w:rsidR="008E2519">
              <w:rPr>
                <w:sz w:val="18"/>
                <w:szCs w:val="18"/>
              </w:rPr>
              <w:t>a</w:t>
            </w:r>
            <w:r w:rsidR="003945D8">
              <w:rPr>
                <w:sz w:val="18"/>
                <w:szCs w:val="18"/>
              </w:rPr>
              <w:t>re</w:t>
            </w:r>
            <w:r w:rsidRPr="003945D8">
              <w:rPr>
                <w:sz w:val="18"/>
                <w:szCs w:val="18"/>
              </w:rPr>
              <w:t xml:space="preserve"> factually correct.</w:t>
            </w:r>
          </w:p>
        </w:tc>
        <w:tc>
          <w:tcPr>
            <w:tcW w:w="1980" w:type="dxa"/>
          </w:tcPr>
          <w:p w14:paraId="10F4364F" w14:textId="05844786" w:rsidR="00125889" w:rsidRPr="003945D8" w:rsidRDefault="00BA451E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solid rationale is provided to justify the choices made. </w:t>
            </w:r>
          </w:p>
        </w:tc>
        <w:tc>
          <w:tcPr>
            <w:tcW w:w="3371" w:type="dxa"/>
          </w:tcPr>
          <w:p w14:paraId="673AD9BC" w14:textId="511615DD" w:rsidR="00125889" w:rsidRPr="003945D8" w:rsidRDefault="003945D8" w:rsidP="003945D8">
            <w:pPr>
              <w:spacing w:after="0" w:line="240" w:lineRule="auto"/>
              <w:rPr>
                <w:sz w:val="18"/>
                <w:szCs w:val="18"/>
              </w:rPr>
            </w:pPr>
            <w:r w:rsidRPr="003945D8">
              <w:rPr>
                <w:sz w:val="18"/>
                <w:szCs w:val="18"/>
              </w:rPr>
              <w:t xml:space="preserve">Excellent delivery! </w:t>
            </w:r>
            <w:r w:rsidR="008E2519">
              <w:rPr>
                <w:sz w:val="18"/>
                <w:szCs w:val="18"/>
              </w:rPr>
              <w:t>E</w:t>
            </w:r>
            <w:r w:rsidRPr="003945D8">
              <w:rPr>
                <w:sz w:val="18"/>
                <w:szCs w:val="18"/>
              </w:rPr>
              <w:t xml:space="preserve">ye contact </w:t>
            </w:r>
            <w:r w:rsidR="008E2519">
              <w:rPr>
                <w:sz w:val="18"/>
                <w:szCs w:val="18"/>
              </w:rPr>
              <w:t xml:space="preserve">is maintained </w:t>
            </w:r>
            <w:r w:rsidRPr="003945D8">
              <w:rPr>
                <w:sz w:val="18"/>
                <w:szCs w:val="18"/>
              </w:rPr>
              <w:t>with members of the audience throughout most of the presentation</w:t>
            </w:r>
            <w:r w:rsidR="008E2519">
              <w:rPr>
                <w:sz w:val="18"/>
                <w:szCs w:val="18"/>
              </w:rPr>
              <w:t>, voice is</w:t>
            </w:r>
            <w:r w:rsidRPr="003945D8">
              <w:rPr>
                <w:sz w:val="18"/>
                <w:szCs w:val="18"/>
              </w:rPr>
              <w:t xml:space="preserve"> clear and loud enough to be heard</w:t>
            </w:r>
            <w:r w:rsidR="008E2519">
              <w:rPr>
                <w:sz w:val="18"/>
                <w:szCs w:val="18"/>
              </w:rPr>
              <w:t>, and p</w:t>
            </w:r>
            <w:r w:rsidRPr="003945D8">
              <w:rPr>
                <w:sz w:val="18"/>
                <w:szCs w:val="18"/>
              </w:rPr>
              <w:t xml:space="preserve">resentation </w:t>
            </w:r>
            <w:r w:rsidR="008E2519">
              <w:rPr>
                <w:sz w:val="18"/>
                <w:szCs w:val="18"/>
              </w:rPr>
              <w:t>i</w:t>
            </w:r>
            <w:r w:rsidRPr="003945D8">
              <w:rPr>
                <w:sz w:val="18"/>
                <w:szCs w:val="18"/>
              </w:rPr>
              <w:t>s interesting and engaging for the audience.</w:t>
            </w:r>
          </w:p>
        </w:tc>
      </w:tr>
      <w:tr w:rsidR="00125889" w14:paraId="6A0C9D73" w14:textId="57BFE1F4" w:rsidTr="0004669B">
        <w:tc>
          <w:tcPr>
            <w:tcW w:w="986" w:type="dxa"/>
          </w:tcPr>
          <w:p w14:paraId="78656A73" w14:textId="4D91F402" w:rsidR="00125889" w:rsidRPr="00125889" w:rsidRDefault="00BA451E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5889" w:rsidRPr="00125889">
              <w:rPr>
                <w:sz w:val="20"/>
                <w:szCs w:val="20"/>
              </w:rPr>
              <w:t xml:space="preserve"> Points</w:t>
            </w:r>
          </w:p>
        </w:tc>
        <w:tc>
          <w:tcPr>
            <w:tcW w:w="2357" w:type="dxa"/>
          </w:tcPr>
          <w:p w14:paraId="5ECC41AE" w14:textId="3EC358DB" w:rsidR="00BA451E" w:rsidRDefault="00BA451E" w:rsidP="00BA451E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selected option </w:t>
            </w:r>
            <w:r w:rsidR="008E251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 communicated</w:t>
            </w:r>
            <w:r w:rsidR="008E2519">
              <w:rPr>
                <w:sz w:val="18"/>
                <w:szCs w:val="18"/>
              </w:rPr>
              <w:t xml:space="preserve"> at some point</w:t>
            </w:r>
            <w:r>
              <w:rPr>
                <w:sz w:val="18"/>
                <w:szCs w:val="18"/>
              </w:rPr>
              <w:t xml:space="preserve"> in the presentation. </w:t>
            </w:r>
          </w:p>
          <w:p w14:paraId="65B1C3E6" w14:textId="545F1598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  <w:tc>
          <w:tcPr>
            <w:tcW w:w="2137" w:type="dxa"/>
          </w:tcPr>
          <w:p w14:paraId="369F3881" w14:textId="1CAF4D80" w:rsidR="00125889" w:rsidRDefault="003945D8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Most members of the 11 player-lineup are listed. </w:t>
            </w:r>
          </w:p>
          <w:p w14:paraId="6FFCA79E" w14:textId="070DB7D6" w:rsidR="003945D8" w:rsidRDefault="008E2519" w:rsidP="008E2519">
            <w:pPr>
              <w:pStyle w:val="TableBody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6FB52DC9" w14:textId="68428781" w:rsidR="003945D8" w:rsidRPr="00125889" w:rsidRDefault="00BA451E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player trade is recommended</w:t>
            </w:r>
            <w:r w:rsidR="003945D8">
              <w:rPr>
                <w:sz w:val="18"/>
                <w:szCs w:val="18"/>
              </w:rPr>
              <w:t xml:space="preserve"> but is not from the correct league.</w:t>
            </w:r>
          </w:p>
        </w:tc>
        <w:tc>
          <w:tcPr>
            <w:tcW w:w="1980" w:type="dxa"/>
          </w:tcPr>
          <w:p w14:paraId="14AA730E" w14:textId="58C681A3" w:rsidR="00125889" w:rsidRPr="003945D8" w:rsidRDefault="00D735E0" w:rsidP="00D735E0">
            <w:pPr>
              <w:spacing w:after="0" w:line="240" w:lineRule="auto"/>
              <w:rPr>
                <w:sz w:val="18"/>
                <w:szCs w:val="18"/>
              </w:rPr>
            </w:pPr>
            <w:r w:rsidRPr="003945D8">
              <w:rPr>
                <w:sz w:val="18"/>
                <w:szCs w:val="18"/>
              </w:rPr>
              <w:t xml:space="preserve">Most </w:t>
            </w:r>
            <w:r w:rsidR="003945D8">
              <w:rPr>
                <w:sz w:val="18"/>
                <w:szCs w:val="18"/>
              </w:rPr>
              <w:t>statistics</w:t>
            </w:r>
            <w:r w:rsidRPr="003945D8">
              <w:rPr>
                <w:sz w:val="18"/>
                <w:szCs w:val="18"/>
              </w:rPr>
              <w:t xml:space="preserve"> </w:t>
            </w:r>
            <w:r w:rsidR="008E2519">
              <w:rPr>
                <w:sz w:val="18"/>
                <w:szCs w:val="18"/>
              </w:rPr>
              <w:t>a</w:t>
            </w:r>
            <w:r w:rsidR="003945D8">
              <w:rPr>
                <w:sz w:val="18"/>
                <w:szCs w:val="18"/>
              </w:rPr>
              <w:t>re</w:t>
            </w:r>
            <w:r w:rsidRPr="003945D8">
              <w:rPr>
                <w:sz w:val="18"/>
                <w:szCs w:val="18"/>
              </w:rPr>
              <w:t xml:space="preserve"> correct, but there </w:t>
            </w:r>
            <w:r w:rsidR="008E2519">
              <w:rPr>
                <w:sz w:val="18"/>
                <w:szCs w:val="18"/>
              </w:rPr>
              <w:t>ar</w:t>
            </w:r>
            <w:r w:rsidRPr="003945D8">
              <w:rPr>
                <w:sz w:val="18"/>
                <w:szCs w:val="18"/>
              </w:rPr>
              <w:t>e 1-3 errors.</w:t>
            </w:r>
          </w:p>
        </w:tc>
        <w:tc>
          <w:tcPr>
            <w:tcW w:w="1980" w:type="dxa"/>
          </w:tcPr>
          <w:p w14:paraId="7BABE850" w14:textId="7D25E575" w:rsidR="00125889" w:rsidRPr="003945D8" w:rsidRDefault="00BA451E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rationale is provided, but it doesn’t justify the choices made. </w:t>
            </w:r>
          </w:p>
        </w:tc>
        <w:tc>
          <w:tcPr>
            <w:tcW w:w="3371" w:type="dxa"/>
          </w:tcPr>
          <w:p w14:paraId="774C339D" w14:textId="1DA0F01F" w:rsidR="00125889" w:rsidRPr="003945D8" w:rsidRDefault="008E2519" w:rsidP="00BA45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BA451E" w:rsidRPr="00BA451E">
              <w:rPr>
                <w:sz w:val="18"/>
                <w:szCs w:val="18"/>
              </w:rPr>
              <w:t>t least two of the following</w:t>
            </w:r>
            <w:r>
              <w:rPr>
                <w:sz w:val="18"/>
                <w:szCs w:val="18"/>
              </w:rPr>
              <w:t xml:space="preserve"> are maintained through most of the presentation</w:t>
            </w:r>
            <w:r w:rsidR="00BA451E" w:rsidRPr="00BA451E">
              <w:rPr>
                <w:sz w:val="18"/>
                <w:szCs w:val="18"/>
              </w:rPr>
              <w:t>: made eye contact, spoke loudly and clearly, delivered an easy-to-follow presentation.</w:t>
            </w:r>
          </w:p>
        </w:tc>
      </w:tr>
      <w:tr w:rsidR="00125889" w14:paraId="252A28CC" w14:textId="41651668" w:rsidTr="0004669B">
        <w:tc>
          <w:tcPr>
            <w:tcW w:w="986" w:type="dxa"/>
          </w:tcPr>
          <w:p w14:paraId="6317D4F5" w14:textId="16FA3077" w:rsidR="00125889" w:rsidRPr="00125889" w:rsidRDefault="00BA451E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5889" w:rsidRPr="00125889">
              <w:rPr>
                <w:sz w:val="20"/>
                <w:szCs w:val="20"/>
              </w:rPr>
              <w:t xml:space="preserve"> Point</w:t>
            </w:r>
          </w:p>
        </w:tc>
        <w:tc>
          <w:tcPr>
            <w:tcW w:w="2357" w:type="dxa"/>
          </w:tcPr>
          <w:p w14:paraId="2451942C" w14:textId="22427D48" w:rsidR="00BA451E" w:rsidRPr="00125889" w:rsidRDefault="00BA451E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selected option </w:t>
            </w:r>
            <w:r w:rsidR="008E251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 not communicated.</w:t>
            </w:r>
          </w:p>
        </w:tc>
        <w:tc>
          <w:tcPr>
            <w:tcW w:w="2137" w:type="dxa"/>
          </w:tcPr>
          <w:p w14:paraId="6E22F83C" w14:textId="03B6CD9A" w:rsidR="00125889" w:rsidRDefault="003945D8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few </w:t>
            </w:r>
            <w:r w:rsidR="00BA451E">
              <w:rPr>
                <w:sz w:val="18"/>
                <w:szCs w:val="18"/>
              </w:rPr>
              <w:t xml:space="preserve">to no </w:t>
            </w:r>
            <w:r>
              <w:rPr>
                <w:sz w:val="18"/>
                <w:szCs w:val="18"/>
              </w:rPr>
              <w:t xml:space="preserve">members of the 11 player-lineup </w:t>
            </w:r>
            <w:r w:rsidR="00BA451E">
              <w:rPr>
                <w:sz w:val="18"/>
                <w:szCs w:val="18"/>
              </w:rPr>
              <w:t>are listed.</w:t>
            </w:r>
          </w:p>
          <w:p w14:paraId="53522BC9" w14:textId="3347B205" w:rsidR="00BA451E" w:rsidRDefault="008E2519" w:rsidP="008E2519">
            <w:pPr>
              <w:pStyle w:val="TableBody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68AE154D" w14:textId="12669CE2" w:rsidR="00BA451E" w:rsidRPr="00125889" w:rsidRDefault="00BA451E" w:rsidP="00BA451E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player trade is not recommended.</w:t>
            </w:r>
          </w:p>
        </w:tc>
        <w:tc>
          <w:tcPr>
            <w:tcW w:w="1980" w:type="dxa"/>
          </w:tcPr>
          <w:p w14:paraId="79742973" w14:textId="6077CE0A" w:rsidR="00125889" w:rsidRPr="003945D8" w:rsidRDefault="008E2519" w:rsidP="00D735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 or</w:t>
            </w:r>
            <w:r w:rsidR="00BA451E" w:rsidRPr="003945D8">
              <w:rPr>
                <w:sz w:val="18"/>
                <w:szCs w:val="18"/>
              </w:rPr>
              <w:t xml:space="preserve"> no correct </w:t>
            </w:r>
            <w:r w:rsidR="00BA451E">
              <w:rPr>
                <w:sz w:val="18"/>
                <w:szCs w:val="18"/>
              </w:rPr>
              <w:t>statistics were</w:t>
            </w:r>
            <w:r w:rsidR="00BA451E" w:rsidRPr="003945D8">
              <w:rPr>
                <w:sz w:val="18"/>
                <w:szCs w:val="18"/>
              </w:rPr>
              <w:t xml:space="preserve"> presented.</w:t>
            </w:r>
          </w:p>
        </w:tc>
        <w:tc>
          <w:tcPr>
            <w:tcW w:w="1980" w:type="dxa"/>
          </w:tcPr>
          <w:p w14:paraId="786711FE" w14:textId="2DF027F1" w:rsidR="00125889" w:rsidRPr="003945D8" w:rsidRDefault="00BA451E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rationale is provided to justify the choices made. </w:t>
            </w:r>
          </w:p>
        </w:tc>
        <w:tc>
          <w:tcPr>
            <w:tcW w:w="3371" w:type="dxa"/>
          </w:tcPr>
          <w:p w14:paraId="5E195DBC" w14:textId="34793C66" w:rsidR="00125889" w:rsidRPr="003945D8" w:rsidRDefault="008E2519" w:rsidP="00BA45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l</w:t>
            </w:r>
            <w:r w:rsidR="00BA451E" w:rsidRPr="00BA451E">
              <w:rPr>
                <w:sz w:val="18"/>
                <w:szCs w:val="18"/>
              </w:rPr>
              <w:t>ittle to no eye contact</w:t>
            </w:r>
            <w:r>
              <w:rPr>
                <w:sz w:val="18"/>
                <w:szCs w:val="18"/>
              </w:rPr>
              <w:t xml:space="preserve">, </w:t>
            </w:r>
            <w:r w:rsidR="00BA451E" w:rsidRPr="00BA451E">
              <w:rPr>
                <w:sz w:val="18"/>
                <w:szCs w:val="18"/>
              </w:rPr>
              <w:t>diction</w:t>
            </w:r>
            <w:r>
              <w:rPr>
                <w:sz w:val="18"/>
                <w:szCs w:val="18"/>
              </w:rPr>
              <w:t xml:space="preserve"> is poor</w:t>
            </w:r>
            <w:r w:rsidR="00BA451E" w:rsidRPr="00BA451E">
              <w:rPr>
                <w:sz w:val="18"/>
                <w:szCs w:val="18"/>
              </w:rPr>
              <w:t>, or volume</w:t>
            </w:r>
            <w:r>
              <w:rPr>
                <w:sz w:val="18"/>
                <w:szCs w:val="18"/>
              </w:rPr>
              <w:t xml:space="preserve"> is too low for the audience to hear</w:t>
            </w:r>
            <w:r w:rsidR="00BA451E" w:rsidRPr="00BA451E">
              <w:rPr>
                <w:sz w:val="18"/>
                <w:szCs w:val="18"/>
              </w:rPr>
              <w:t>.</w:t>
            </w:r>
          </w:p>
        </w:tc>
      </w:tr>
      <w:tr w:rsidR="0021731C" w14:paraId="6B3B085A" w14:textId="77777777" w:rsidTr="0004669B">
        <w:trPr>
          <w:trHeight w:val="512"/>
        </w:trPr>
        <w:tc>
          <w:tcPr>
            <w:tcW w:w="986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1B21C29" w14:textId="602025C4" w:rsidR="0021731C" w:rsidRPr="00125889" w:rsidRDefault="0021731C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Awarded</w:t>
            </w:r>
          </w:p>
        </w:tc>
        <w:tc>
          <w:tcPr>
            <w:tcW w:w="2357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78EF01F8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042B8653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320B013B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1013BEB" w14:textId="52CEAFCD" w:rsidR="00895E9E" w:rsidRPr="00895E9E" w:rsidRDefault="0021731C" w:rsidP="0021731C">
      <w:pPr>
        <w:pStyle w:val="BodyText"/>
        <w:spacing w:before="240"/>
      </w:pPr>
      <w:r w:rsidRPr="0021731C">
        <w:rPr>
          <w:rStyle w:val="Heading1Char"/>
        </w:rPr>
        <w:t>Total Points</w:t>
      </w:r>
      <w:r>
        <w:t xml:space="preserve"> ______________</w:t>
      </w: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538EB" w14:textId="77777777" w:rsidR="005F4A88" w:rsidRDefault="005F4A88" w:rsidP="00293785">
      <w:pPr>
        <w:spacing w:after="0" w:line="240" w:lineRule="auto"/>
      </w:pPr>
      <w:r>
        <w:separator/>
      </w:r>
    </w:p>
  </w:endnote>
  <w:endnote w:type="continuationSeparator" w:id="0">
    <w:p w14:paraId="61D57F7E" w14:textId="77777777" w:rsidR="005F4A88" w:rsidRDefault="005F4A8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2B5E" w14:textId="77777777" w:rsidR="00BF3D42" w:rsidRDefault="00BF3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2F5FE268" w:rsidR="00293785" w:rsidRDefault="005F4A8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72676">
                                <w:t>Soccer and Statistics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2F5FE268" w:rsidR="00293785" w:rsidRDefault="00A218C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72676">
                          <w:t>Soccer and Statistics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07C0F" w14:textId="77777777" w:rsidR="00BF3D42" w:rsidRDefault="00BF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9D7DA" w14:textId="77777777" w:rsidR="005F4A88" w:rsidRDefault="005F4A88" w:rsidP="00293785">
      <w:pPr>
        <w:spacing w:after="0" w:line="240" w:lineRule="auto"/>
      </w:pPr>
      <w:r>
        <w:separator/>
      </w:r>
    </w:p>
  </w:footnote>
  <w:footnote w:type="continuationSeparator" w:id="0">
    <w:p w14:paraId="7E15D092" w14:textId="77777777" w:rsidR="005F4A88" w:rsidRDefault="005F4A8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5EF08" w14:textId="77777777" w:rsidR="00485BA3" w:rsidRDefault="00485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55709" w14:textId="77777777" w:rsidR="00485BA3" w:rsidRDefault="00485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CB7D2" w14:textId="77777777" w:rsidR="00485BA3" w:rsidRDefault="00485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62D"/>
    <w:multiLevelType w:val="multilevel"/>
    <w:tmpl w:val="1036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74A87"/>
    <w:multiLevelType w:val="hybridMultilevel"/>
    <w:tmpl w:val="D264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4669B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6040A"/>
    <w:rsid w:val="003945D8"/>
    <w:rsid w:val="00446C13"/>
    <w:rsid w:val="00485BA3"/>
    <w:rsid w:val="005078B4"/>
    <w:rsid w:val="0053328A"/>
    <w:rsid w:val="00540FC6"/>
    <w:rsid w:val="005F4A88"/>
    <w:rsid w:val="00645D7F"/>
    <w:rsid w:val="00656940"/>
    <w:rsid w:val="00666C03"/>
    <w:rsid w:val="00686DAB"/>
    <w:rsid w:val="00696D80"/>
    <w:rsid w:val="006D0303"/>
    <w:rsid w:val="006E1542"/>
    <w:rsid w:val="00721EA4"/>
    <w:rsid w:val="007744F8"/>
    <w:rsid w:val="007B055F"/>
    <w:rsid w:val="007D4DF2"/>
    <w:rsid w:val="00880013"/>
    <w:rsid w:val="00895E9E"/>
    <w:rsid w:val="008E2519"/>
    <w:rsid w:val="008E4D00"/>
    <w:rsid w:val="008F5386"/>
    <w:rsid w:val="00913172"/>
    <w:rsid w:val="00981E19"/>
    <w:rsid w:val="009B52E4"/>
    <w:rsid w:val="009D6E8D"/>
    <w:rsid w:val="00A101E8"/>
    <w:rsid w:val="00A218C8"/>
    <w:rsid w:val="00A471FD"/>
    <w:rsid w:val="00AA65B7"/>
    <w:rsid w:val="00AC349E"/>
    <w:rsid w:val="00AC75FD"/>
    <w:rsid w:val="00B72676"/>
    <w:rsid w:val="00B92DBF"/>
    <w:rsid w:val="00BA451E"/>
    <w:rsid w:val="00BB07F8"/>
    <w:rsid w:val="00BD119F"/>
    <w:rsid w:val="00BF3D42"/>
    <w:rsid w:val="00BF6CE0"/>
    <w:rsid w:val="00C73EA1"/>
    <w:rsid w:val="00CB27A0"/>
    <w:rsid w:val="00CC4F77"/>
    <w:rsid w:val="00CD3CF6"/>
    <w:rsid w:val="00CE317F"/>
    <w:rsid w:val="00CE336D"/>
    <w:rsid w:val="00CF2FCF"/>
    <w:rsid w:val="00D106FF"/>
    <w:rsid w:val="00D626EB"/>
    <w:rsid w:val="00D735E0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51180F"/>
    <w:rsid w:val="00B86EBC"/>
    <w:rsid w:val="00EE0C77"/>
    <w:rsid w:val="00F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CFC52F-4FF9-5843-BFC7-D0D51D29555F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F415-4D02-4633-BB97-012996AB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3</TotalTime>
  <Pages>1</Pages>
  <Words>276</Words>
  <Characters>1565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SOCCER &amp; STATISTICS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and Statistics</dc:title>
  <dc:creator>K20 Center</dc:creator>
  <cp:lastModifiedBy>Walters, Darrin J.</cp:lastModifiedBy>
  <cp:revision>4</cp:revision>
  <cp:lastPrinted>2016-07-14T14:08:00Z</cp:lastPrinted>
  <dcterms:created xsi:type="dcterms:W3CDTF">2020-06-02T19:58:00Z</dcterms:created>
  <dcterms:modified xsi:type="dcterms:W3CDTF">2020-07-16T15:34:00Z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documentId_1104</vt:lpwstr>
  </property>
</Properties>
</file>