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15E163" w14:textId="0326D5D0" w:rsidR="004A5302" w:rsidRPr="001F5DC9" w:rsidRDefault="00FD127A" w:rsidP="00227BB7">
      <w:pPr>
        <w:pStyle w:val="Title"/>
        <w:rPr>
          <w:lang w:val="es-US"/>
        </w:rPr>
      </w:pPr>
      <w:r>
        <w:rPr>
          <w:bCs/>
          <w:lang w:val="es"/>
        </w:rPr>
        <w:t>Influencia progresista en la constitución de Oklahoma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40"/>
        <w:gridCol w:w="4540"/>
      </w:tblGrid>
      <w:tr w:rsidR="004A5302" w:rsidRPr="001F5DC9" w14:paraId="79328CFF" w14:textId="77777777" w:rsidTr="002B128B"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BED7D3" w:themeColor="accent3"/>
            </w:tcBorders>
            <w:shd w:val="clear" w:color="auto" w:fill="auto"/>
          </w:tcPr>
          <w:p w14:paraId="18A2D4C8" w14:textId="77777777" w:rsidR="00D12F68" w:rsidRPr="001F5DC9" w:rsidRDefault="004A5302" w:rsidP="002B128B">
            <w:pPr>
              <w:pStyle w:val="TableColumnHeaders"/>
              <w:spacing w:after="0"/>
              <w:rPr>
                <w:b w:val="0"/>
                <w:bCs/>
                <w:i/>
                <w:iCs/>
                <w:color w:val="910D28" w:themeColor="accent1"/>
                <w:sz w:val="20"/>
                <w:szCs w:val="20"/>
                <w:lang w:val="es-US"/>
              </w:rPr>
            </w:pPr>
            <w:r>
              <w:rPr>
                <w:b w:val="0"/>
                <w:i/>
                <w:iCs/>
                <w:color w:val="910D28" w:themeColor="accent1"/>
                <w:sz w:val="20"/>
                <w:szCs w:val="20"/>
                <w:lang w:val="es"/>
              </w:rPr>
              <w:t xml:space="preserve">Demanda de Shawnee Incluida en la </w:t>
            </w:r>
          </w:p>
          <w:p w14:paraId="623CF978" w14:textId="74C0845D" w:rsidR="004A5302" w:rsidRPr="002B128B" w:rsidRDefault="004A5302" w:rsidP="002B128B">
            <w:pPr>
              <w:pStyle w:val="TableColumnHeaders"/>
              <w:spacing w:after="0"/>
              <w:rPr>
                <w:b w:val="0"/>
                <w:bCs/>
                <w:i/>
                <w:iCs/>
                <w:color w:val="910D28" w:themeColor="accent1"/>
                <w:sz w:val="20"/>
                <w:szCs w:val="20"/>
              </w:rPr>
            </w:pPr>
            <w:r>
              <w:rPr>
                <w:b w:val="0"/>
                <w:i/>
                <w:iCs/>
                <w:color w:val="910D28" w:themeColor="accent1"/>
                <w:sz w:val="20"/>
                <w:szCs w:val="20"/>
                <w:lang w:val="es"/>
              </w:rPr>
              <w:t>Constitución de Oklahoma</w:t>
            </w:r>
          </w:p>
        </w:tc>
        <w:tc>
          <w:tcPr>
            <w:tcW w:w="4540" w:type="dxa"/>
            <w:tcBorders>
              <w:top w:val="nil"/>
              <w:left w:val="single" w:sz="4" w:space="0" w:color="BED7D3" w:themeColor="accent3"/>
              <w:bottom w:val="nil"/>
              <w:right w:val="nil"/>
            </w:tcBorders>
            <w:shd w:val="clear" w:color="auto" w:fill="auto"/>
          </w:tcPr>
          <w:p w14:paraId="08F85FB8" w14:textId="77777777" w:rsidR="00D12F68" w:rsidRPr="001F5DC9" w:rsidRDefault="004A5302" w:rsidP="002B128B">
            <w:pPr>
              <w:pStyle w:val="TableColumnHeaders"/>
              <w:spacing w:after="0"/>
              <w:rPr>
                <w:b w:val="0"/>
                <w:bCs/>
                <w:i/>
                <w:iCs/>
                <w:color w:val="910D28" w:themeColor="accent1"/>
                <w:sz w:val="20"/>
                <w:szCs w:val="20"/>
                <w:lang w:val="es-US"/>
              </w:rPr>
            </w:pPr>
            <w:r>
              <w:rPr>
                <w:b w:val="0"/>
                <w:i/>
                <w:iCs/>
                <w:color w:val="910D28" w:themeColor="accent1"/>
                <w:sz w:val="20"/>
                <w:szCs w:val="20"/>
                <w:lang w:val="es"/>
              </w:rPr>
              <w:t xml:space="preserve">Cómo la demanda refleja los </w:t>
            </w:r>
          </w:p>
          <w:p w14:paraId="583B622F" w14:textId="39C9ACD6" w:rsidR="004A5302" w:rsidRPr="001F5DC9" w:rsidRDefault="004A5302" w:rsidP="002B128B">
            <w:pPr>
              <w:pStyle w:val="TableColumnHeaders"/>
              <w:spacing w:after="0"/>
              <w:rPr>
                <w:b w:val="0"/>
                <w:bCs/>
                <w:i/>
                <w:iCs/>
                <w:color w:val="910D28" w:themeColor="accent1"/>
                <w:sz w:val="20"/>
                <w:szCs w:val="20"/>
                <w:lang w:val="es-US"/>
              </w:rPr>
            </w:pPr>
            <w:r>
              <w:rPr>
                <w:b w:val="0"/>
                <w:i/>
                <w:iCs/>
                <w:color w:val="910D28" w:themeColor="accent1"/>
                <w:sz w:val="20"/>
                <w:szCs w:val="20"/>
                <w:lang w:val="es"/>
              </w:rPr>
              <w:t>Movimientos progresistas y laborales</w:t>
            </w:r>
          </w:p>
        </w:tc>
      </w:tr>
      <w:tr w:rsidR="00227BB7" w:rsidRPr="002B128B" w14:paraId="2E8EBE63" w14:textId="77777777" w:rsidTr="002B128B">
        <w:tc>
          <w:tcPr>
            <w:tcW w:w="9080" w:type="dxa"/>
            <w:gridSpan w:val="2"/>
            <w:tcBorders>
              <w:top w:val="nil"/>
            </w:tcBorders>
            <w:shd w:val="clear" w:color="auto" w:fill="3E5C61" w:themeFill="accent2"/>
          </w:tcPr>
          <w:p w14:paraId="1474F160" w14:textId="2AF82477" w:rsidR="00227BB7" w:rsidRPr="002B128B" w:rsidRDefault="00227BB7" w:rsidP="002B128B">
            <w:pPr>
              <w:pStyle w:val="TableColumnHeaders"/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Demandas legislativas</w:t>
            </w:r>
          </w:p>
        </w:tc>
      </w:tr>
      <w:tr w:rsidR="004A5302" w:rsidRPr="001F5DC9" w14:paraId="62D36445" w14:textId="77777777" w:rsidTr="00177E70">
        <w:trPr>
          <w:trHeight w:val="2335"/>
        </w:trPr>
        <w:tc>
          <w:tcPr>
            <w:tcW w:w="4540" w:type="dxa"/>
          </w:tcPr>
          <w:p w14:paraId="352A96A2" w14:textId="44907719" w:rsidR="004A5302" w:rsidRPr="001F5DC9" w:rsidRDefault="00227BB7" w:rsidP="002B128B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1. La iniciativa y el referéndum con derecho a revocación tal y como se han adoptado y aplicado en el estado de Oregón.</w:t>
            </w:r>
          </w:p>
        </w:tc>
        <w:tc>
          <w:tcPr>
            <w:tcW w:w="4540" w:type="dxa"/>
          </w:tcPr>
          <w:p w14:paraId="3DE1A74F" w14:textId="2721075F" w:rsidR="004A5302" w:rsidRPr="001F5DC9" w:rsidRDefault="004A5302" w:rsidP="002B128B">
            <w:pPr>
              <w:spacing w:after="0"/>
              <w:rPr>
                <w:i/>
                <w:iCs/>
                <w:sz w:val="20"/>
                <w:szCs w:val="20"/>
                <w:lang w:val="es-US"/>
              </w:rPr>
            </w:pPr>
          </w:p>
        </w:tc>
      </w:tr>
      <w:tr w:rsidR="004A5302" w:rsidRPr="001F5DC9" w14:paraId="5012A94B" w14:textId="77777777" w:rsidTr="00177E70">
        <w:trPr>
          <w:trHeight w:val="2335"/>
        </w:trPr>
        <w:tc>
          <w:tcPr>
            <w:tcW w:w="4540" w:type="dxa"/>
          </w:tcPr>
          <w:p w14:paraId="62BAA460" w14:textId="2CBF5A09" w:rsidR="004A5302" w:rsidRPr="001F5DC9" w:rsidRDefault="00227BB7" w:rsidP="002B128B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5. Que el derecho común que exime al empleador de responsabilidad [por] los empleados lesionados por el descuido de un compañero [empleado] sea [eliminado], y que la primera legislatura apruebe leyes adecuadas que protejan a los empleados en tales condiciones.</w:t>
            </w:r>
          </w:p>
        </w:tc>
        <w:tc>
          <w:tcPr>
            <w:tcW w:w="4540" w:type="dxa"/>
          </w:tcPr>
          <w:p w14:paraId="2D40D3A3" w14:textId="39248780" w:rsidR="004A5302" w:rsidRPr="001F5DC9" w:rsidRDefault="004A5302" w:rsidP="002B128B">
            <w:pPr>
              <w:spacing w:after="0"/>
              <w:rPr>
                <w:i/>
                <w:iCs/>
                <w:sz w:val="20"/>
                <w:szCs w:val="20"/>
                <w:lang w:val="es-US"/>
              </w:rPr>
            </w:pPr>
          </w:p>
        </w:tc>
      </w:tr>
      <w:tr w:rsidR="00227BB7" w:rsidRPr="001F5DC9" w14:paraId="61CF1C71" w14:textId="77777777" w:rsidTr="00177E70">
        <w:trPr>
          <w:trHeight w:val="2335"/>
        </w:trPr>
        <w:tc>
          <w:tcPr>
            <w:tcW w:w="4540" w:type="dxa"/>
          </w:tcPr>
          <w:p w14:paraId="605671A8" w14:textId="58730980" w:rsidR="00227BB7" w:rsidRPr="001F5DC9" w:rsidRDefault="00227BB7" w:rsidP="002B128B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7.  No más de ocho horas constituirán un día de trabajo en todas las minas subterráneas y en todas las obras realizadas por el estado, el condado o el gobierno municipal, y la legislatura aprobará las leyes adecuadas para garantizar la salud y la seguridad de los empleados en las fábricas, molinos, fundiciones, minas y en los ferrocarriles.</w:t>
            </w:r>
          </w:p>
        </w:tc>
        <w:tc>
          <w:tcPr>
            <w:tcW w:w="4540" w:type="dxa"/>
          </w:tcPr>
          <w:p w14:paraId="6F531810" w14:textId="496F17FC" w:rsidR="00227BB7" w:rsidRPr="001F5DC9" w:rsidRDefault="00227BB7" w:rsidP="002B128B">
            <w:pPr>
              <w:spacing w:after="0"/>
              <w:rPr>
                <w:i/>
                <w:iCs/>
                <w:sz w:val="20"/>
                <w:szCs w:val="20"/>
                <w:lang w:val="es-US"/>
              </w:rPr>
            </w:pPr>
          </w:p>
        </w:tc>
      </w:tr>
      <w:tr w:rsidR="00227BB7" w:rsidRPr="001F5DC9" w14:paraId="0BBEC049" w14:textId="77777777" w:rsidTr="00177E70">
        <w:trPr>
          <w:trHeight w:val="2335"/>
        </w:trPr>
        <w:tc>
          <w:tcPr>
            <w:tcW w:w="4540" w:type="dxa"/>
          </w:tcPr>
          <w:p w14:paraId="5BBD59E0" w14:textId="77777777" w:rsidR="00227BB7" w:rsidRPr="001F5DC9" w:rsidRDefault="00227BB7" w:rsidP="002B128B">
            <w:pPr>
              <w:spacing w:after="0"/>
              <w:rPr>
                <w:rFonts w:asciiTheme="majorHAnsi" w:eastAsiaTheme="majorEastAsia" w:hAnsiTheme="majorHAnsi" w:cstheme="majorBidi"/>
                <w:b/>
                <w:color w:val="910D28" w:themeColor="accent1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10D28" w:themeColor="accent1"/>
                <w:sz w:val="20"/>
                <w:szCs w:val="20"/>
                <w:shd w:val="clear" w:color="auto" w:fill="FFFFFF"/>
                <w:lang w:val="es"/>
              </w:rPr>
              <w:t>8. Que habrá tres comisionados elegidos por el pueblo para regular y mantener las tarifas de los ferrocarriles, los seguros, el telégrafo, las compañías express, el teléfono y las tuberías, y todas las demás corporaciones.</w:t>
            </w:r>
          </w:p>
          <w:p w14:paraId="13423134" w14:textId="77777777" w:rsidR="00227BB7" w:rsidRPr="001F5DC9" w:rsidRDefault="00227BB7" w:rsidP="002B128B">
            <w:pPr>
              <w:pStyle w:val="Heading1"/>
              <w:outlineLvl w:val="0"/>
              <w:rPr>
                <w:lang w:val="es-US"/>
              </w:rPr>
            </w:pPr>
          </w:p>
        </w:tc>
        <w:tc>
          <w:tcPr>
            <w:tcW w:w="4540" w:type="dxa"/>
          </w:tcPr>
          <w:p w14:paraId="6D6661B1" w14:textId="45F7FA42" w:rsidR="00227BB7" w:rsidRPr="001F5DC9" w:rsidRDefault="00227BB7" w:rsidP="002B128B">
            <w:pPr>
              <w:spacing w:after="0"/>
              <w:rPr>
                <w:i/>
                <w:iCs/>
                <w:sz w:val="20"/>
                <w:szCs w:val="20"/>
                <w:lang w:val="es-US"/>
              </w:rPr>
            </w:pPr>
          </w:p>
        </w:tc>
      </w:tr>
    </w:tbl>
    <w:p w14:paraId="2E46CDB0" w14:textId="77777777" w:rsidR="00177E70" w:rsidRPr="001F5DC9" w:rsidRDefault="00177E70">
      <w:pPr>
        <w:rPr>
          <w:lang w:val="es-US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40"/>
        <w:gridCol w:w="4540"/>
      </w:tblGrid>
      <w:tr w:rsidR="00227BB7" w:rsidRPr="001F5DC9" w14:paraId="4E0A7274" w14:textId="77777777" w:rsidTr="00177E70">
        <w:trPr>
          <w:trHeight w:val="21"/>
        </w:trPr>
        <w:tc>
          <w:tcPr>
            <w:tcW w:w="4540" w:type="dxa"/>
          </w:tcPr>
          <w:p w14:paraId="36E3A119" w14:textId="064DEAE7" w:rsidR="00227BB7" w:rsidRPr="001F5DC9" w:rsidRDefault="00227BB7" w:rsidP="002B128B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lastRenderedPageBreak/>
              <w:t>12. Un comisionado de trabajo que será elegido por el pueblo.</w:t>
            </w:r>
          </w:p>
          <w:p w14:paraId="29869121" w14:textId="3A19AEA6" w:rsidR="00227BB7" w:rsidRPr="001F5DC9" w:rsidRDefault="00227BB7" w:rsidP="002B128B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13. Un comisionado de agricultura que será elegido por el pueblo.</w:t>
            </w:r>
          </w:p>
          <w:p w14:paraId="3B255C67" w14:textId="2C22269D" w:rsidR="00227BB7" w:rsidRPr="001F5DC9" w:rsidRDefault="00227BB7" w:rsidP="002B128B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16. Exigimos una comisión de impuestos corporativos de tres personas elegidas por el pueblo, que tendrá pleno poder para inspeccionar todas las cuentas, comprobantes y libros en cualquier momento, y poner la verdadera [estimación del valor] en todas las acciones, bonos, propiedades, recibos y valores monetarios, para que todas las corporaciones sean evaluadas por los asesores [debidamente] elegidos.</w:t>
            </w:r>
          </w:p>
        </w:tc>
        <w:tc>
          <w:tcPr>
            <w:tcW w:w="4540" w:type="dxa"/>
          </w:tcPr>
          <w:p w14:paraId="2356A526" w14:textId="55489C67" w:rsidR="00227BB7" w:rsidRPr="001F5DC9" w:rsidRDefault="00227BB7" w:rsidP="002B128B">
            <w:pPr>
              <w:spacing w:after="0"/>
              <w:rPr>
                <w:i/>
                <w:iCs/>
                <w:sz w:val="20"/>
                <w:szCs w:val="20"/>
                <w:lang w:val="es-US"/>
              </w:rPr>
            </w:pPr>
          </w:p>
        </w:tc>
      </w:tr>
    </w:tbl>
    <w:tbl>
      <w:tblPr>
        <w:tblStyle w:val="TableGrid1"/>
        <w:tblW w:w="0" w:type="auto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80"/>
      </w:tblGrid>
      <w:tr w:rsidR="00227BB7" w:rsidRPr="002B128B" w14:paraId="1BC0C7CC" w14:textId="77777777" w:rsidTr="00227BB7">
        <w:trPr>
          <w:cantSplit/>
        </w:trPr>
        <w:tc>
          <w:tcPr>
            <w:tcW w:w="9080" w:type="dxa"/>
            <w:tcBorders>
              <w:top w:val="nil"/>
            </w:tcBorders>
            <w:shd w:val="clear" w:color="auto" w:fill="3E5C61" w:themeFill="accent2"/>
          </w:tcPr>
          <w:p w14:paraId="0C7FBEA0" w14:textId="38FBEAF1" w:rsidR="00227BB7" w:rsidRPr="002B128B" w:rsidRDefault="00227BB7" w:rsidP="002B128B">
            <w:pPr>
              <w:pStyle w:val="TableColumnHeaders"/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Exigencias prohibitivas</w:t>
            </w:r>
          </w:p>
        </w:tc>
      </w:tr>
    </w:tbl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40"/>
        <w:gridCol w:w="4540"/>
      </w:tblGrid>
      <w:tr w:rsidR="00227BB7" w:rsidRPr="001F5DC9" w14:paraId="1F014339" w14:textId="77777777" w:rsidTr="00177E70">
        <w:trPr>
          <w:trHeight w:val="2433"/>
        </w:trPr>
        <w:tc>
          <w:tcPr>
            <w:tcW w:w="4540" w:type="dxa"/>
          </w:tcPr>
          <w:p w14:paraId="3D7FC561" w14:textId="5245DE04" w:rsidR="00227BB7" w:rsidRPr="001F5DC9" w:rsidRDefault="00227BB7" w:rsidP="002B128B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1. El empleo de niños menores de dieciséis años en minas, molinos y fábricas.</w:t>
            </w:r>
          </w:p>
        </w:tc>
        <w:tc>
          <w:tcPr>
            <w:tcW w:w="4540" w:type="dxa"/>
          </w:tcPr>
          <w:p w14:paraId="69C3FE57" w14:textId="5DA500DF" w:rsidR="00227BB7" w:rsidRPr="001F5DC9" w:rsidRDefault="00227BB7" w:rsidP="002B128B">
            <w:pPr>
              <w:spacing w:after="0"/>
              <w:rPr>
                <w:i/>
                <w:iCs/>
                <w:sz w:val="20"/>
                <w:szCs w:val="20"/>
                <w:lang w:val="es-US"/>
              </w:rPr>
            </w:pPr>
          </w:p>
        </w:tc>
      </w:tr>
      <w:tr w:rsidR="00227BB7" w:rsidRPr="001F5DC9" w14:paraId="52C4F35C" w14:textId="77777777" w:rsidTr="00177E70">
        <w:trPr>
          <w:trHeight w:val="2433"/>
        </w:trPr>
        <w:tc>
          <w:tcPr>
            <w:tcW w:w="4540" w:type="dxa"/>
          </w:tcPr>
          <w:p w14:paraId="4915E094" w14:textId="0C854F92" w:rsidR="00227BB7" w:rsidRPr="001F5DC9" w:rsidRDefault="00227BB7" w:rsidP="002B128B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5. Los ferrocarriles no pueden poseer tierras de carbón ni arrendar ningún tipo de minas directa o indirectamente.</w:t>
            </w:r>
          </w:p>
        </w:tc>
        <w:tc>
          <w:tcPr>
            <w:tcW w:w="4540" w:type="dxa"/>
          </w:tcPr>
          <w:p w14:paraId="675569B3" w14:textId="1E1F429B" w:rsidR="00227BB7" w:rsidRPr="001F5DC9" w:rsidRDefault="00227BB7" w:rsidP="002B128B">
            <w:pPr>
              <w:spacing w:after="0"/>
              <w:rPr>
                <w:i/>
                <w:iCs/>
                <w:sz w:val="20"/>
                <w:szCs w:val="20"/>
                <w:lang w:val="es-US"/>
              </w:rPr>
            </w:pPr>
          </w:p>
        </w:tc>
      </w:tr>
      <w:tr w:rsidR="00227BB7" w:rsidRPr="001F5DC9" w14:paraId="1567BD77" w14:textId="77777777" w:rsidTr="001F5DC9">
        <w:trPr>
          <w:trHeight w:val="1962"/>
        </w:trPr>
        <w:tc>
          <w:tcPr>
            <w:tcW w:w="4540" w:type="dxa"/>
          </w:tcPr>
          <w:p w14:paraId="5A426543" w14:textId="71E16DD1" w:rsidR="00227BB7" w:rsidRPr="001F5DC9" w:rsidRDefault="00227BB7" w:rsidP="002B128B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6. Cualquier corporación no puede hacer negocios en el estado sin antes [obtener] un estatuto bajo las leyes del estado.</w:t>
            </w:r>
          </w:p>
        </w:tc>
        <w:tc>
          <w:tcPr>
            <w:tcW w:w="4540" w:type="dxa"/>
          </w:tcPr>
          <w:p w14:paraId="403391A8" w14:textId="77777777" w:rsidR="00227BB7" w:rsidRPr="001F5DC9" w:rsidRDefault="00227BB7" w:rsidP="002B128B">
            <w:pPr>
              <w:spacing w:after="0"/>
              <w:rPr>
                <w:i/>
                <w:iCs/>
                <w:sz w:val="20"/>
                <w:szCs w:val="20"/>
                <w:lang w:val="es-US"/>
              </w:rPr>
            </w:pPr>
          </w:p>
        </w:tc>
      </w:tr>
    </w:tbl>
    <w:p w14:paraId="399DAFF3" w14:textId="609CC586" w:rsidR="0036040A" w:rsidRPr="001F5DC9" w:rsidRDefault="0036040A" w:rsidP="002B128B">
      <w:pPr>
        <w:spacing w:after="0"/>
        <w:rPr>
          <w:sz w:val="22"/>
          <w:lang w:val="es-US"/>
        </w:rPr>
      </w:pPr>
    </w:p>
    <w:sectPr w:rsidR="0036040A" w:rsidRPr="001F5DC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D978" w14:textId="77777777" w:rsidR="004A5302" w:rsidRDefault="004A5302" w:rsidP="00293785">
      <w:pPr>
        <w:spacing w:after="0" w:line="240" w:lineRule="auto"/>
      </w:pPr>
      <w:r>
        <w:separator/>
      </w:r>
    </w:p>
  </w:endnote>
  <w:endnote w:type="continuationSeparator" w:id="0">
    <w:p w14:paraId="1BD4997E" w14:textId="77777777" w:rsidR="004A5302" w:rsidRDefault="004A530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D24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8798EB" wp14:editId="2F022C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D2C32" w14:textId="6C872E0E" w:rsidR="00293785" w:rsidRDefault="001F5DC9" w:rsidP="00D106FF">
                          <w:pPr>
                            <w:pStyle w:val="LessonFooter"/>
                          </w:pPr>
                          <w:sdt>
                            <w:sdtPr>
                              <w:rPr>
                                <w:sz w:val="18"/>
                                <w:szCs w:val="16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CE19DF38C7B54ECBB873C623FB02CB0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0C74" w:rsidRPr="001F5DC9">
                                <w:rPr>
                                  <w:bCs/>
                                  <w:sz w:val="18"/>
                                  <w:szCs w:val="16"/>
                                </w:rPr>
                                <w:t>Progressivism, Organized Labor, and the Oklahoma Constitution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798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E0D2C32" w14:textId="6C872E0E" w:rsidR="00293785" w:rsidRDefault="001F5DC9" w:rsidP="00D106FF">
                    <w:pPr>
                      <w:pStyle w:val="LessonFooter"/>
                    </w:pPr>
                    <w:sdt>
                      <w:sdtPr>
                        <w:rPr>
                          <w:sz w:val="18"/>
                          <w:szCs w:val="16"/>
                        </w:rPr>
                        <w:alias w:val="Title"/>
                        <w:tag w:val=""/>
                        <w:id w:val="1281607793"/>
                        <w:placeholder>
                          <w:docPart w:val="CE19DF38C7B54ECBB873C623FB02CB0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0C74" w:rsidRPr="001F5DC9">
                          <w:rPr>
                            <w:bCs/>
                            <w:sz w:val="18"/>
                            <w:szCs w:val="16"/>
                          </w:rPr>
                          <w:t>Progressivism, Organized Labor, and the Oklahoma Constitution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1755FB2" wp14:editId="0EE4E40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EAC4" w14:textId="77777777" w:rsidR="004A5302" w:rsidRDefault="004A5302" w:rsidP="00293785">
      <w:pPr>
        <w:spacing w:after="0" w:line="240" w:lineRule="auto"/>
      </w:pPr>
      <w:r>
        <w:separator/>
      </w:r>
    </w:p>
  </w:footnote>
  <w:footnote w:type="continuationSeparator" w:id="0">
    <w:p w14:paraId="25D70EF7" w14:textId="77777777" w:rsidR="004A5302" w:rsidRDefault="004A530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F50C0"/>
    <w:multiLevelType w:val="hybridMultilevel"/>
    <w:tmpl w:val="89C6E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82986">
    <w:abstractNumId w:val="6"/>
  </w:num>
  <w:num w:numId="2" w16cid:durableId="1035883723">
    <w:abstractNumId w:val="8"/>
  </w:num>
  <w:num w:numId="3" w16cid:durableId="144861838">
    <w:abstractNumId w:val="0"/>
  </w:num>
  <w:num w:numId="4" w16cid:durableId="1223834045">
    <w:abstractNumId w:val="2"/>
  </w:num>
  <w:num w:numId="5" w16cid:durableId="1439444498">
    <w:abstractNumId w:val="3"/>
  </w:num>
  <w:num w:numId="6" w16cid:durableId="184558456">
    <w:abstractNumId w:val="5"/>
  </w:num>
  <w:num w:numId="7" w16cid:durableId="853497599">
    <w:abstractNumId w:val="4"/>
  </w:num>
  <w:num w:numId="8" w16cid:durableId="1559587311">
    <w:abstractNumId w:val="9"/>
  </w:num>
  <w:num w:numId="9" w16cid:durableId="2054579943">
    <w:abstractNumId w:val="10"/>
  </w:num>
  <w:num w:numId="10" w16cid:durableId="1939831155">
    <w:abstractNumId w:val="11"/>
  </w:num>
  <w:num w:numId="11" w16cid:durableId="524639128">
    <w:abstractNumId w:val="1"/>
  </w:num>
  <w:num w:numId="12" w16cid:durableId="78016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02"/>
    <w:rsid w:val="0004006F"/>
    <w:rsid w:val="00053775"/>
    <w:rsid w:val="0005619A"/>
    <w:rsid w:val="000E10BC"/>
    <w:rsid w:val="00110C74"/>
    <w:rsid w:val="0011259B"/>
    <w:rsid w:val="00116FDD"/>
    <w:rsid w:val="00125621"/>
    <w:rsid w:val="00177E70"/>
    <w:rsid w:val="001D0BBF"/>
    <w:rsid w:val="001E1F85"/>
    <w:rsid w:val="001F125D"/>
    <w:rsid w:val="001F5DC9"/>
    <w:rsid w:val="00227BB7"/>
    <w:rsid w:val="002345CC"/>
    <w:rsid w:val="00293785"/>
    <w:rsid w:val="002B128B"/>
    <w:rsid w:val="002C0879"/>
    <w:rsid w:val="002C37B4"/>
    <w:rsid w:val="0036040A"/>
    <w:rsid w:val="00446C13"/>
    <w:rsid w:val="004A5302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AD09B2"/>
    <w:rsid w:val="00B6390B"/>
    <w:rsid w:val="00B92DBF"/>
    <w:rsid w:val="00BD119F"/>
    <w:rsid w:val="00C73EA1"/>
    <w:rsid w:val="00C8524A"/>
    <w:rsid w:val="00CC4F77"/>
    <w:rsid w:val="00CD3CF6"/>
    <w:rsid w:val="00CE336D"/>
    <w:rsid w:val="00D106FF"/>
    <w:rsid w:val="00D12F68"/>
    <w:rsid w:val="00D626EB"/>
    <w:rsid w:val="00DC7A6D"/>
    <w:rsid w:val="00E40095"/>
    <w:rsid w:val="00ED24C8"/>
    <w:rsid w:val="00F377E2"/>
    <w:rsid w:val="00F50748"/>
    <w:rsid w:val="00F72D02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FF862D"/>
  <w15:docId w15:val="{1303A8EB-F527-4A39-BC2E-8980995D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128B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128B"/>
    <w:rPr>
      <w:rFonts w:asciiTheme="majorHAnsi" w:eastAsiaTheme="majorEastAsia" w:hAnsiTheme="majorHAnsi" w:cstheme="majorBidi"/>
      <w:b/>
      <w:color w:val="910D28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2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19DF38C7B54ECBB873C623FB02C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C2F1-11FF-471D-AAE6-50B41AFA09BA}"/>
      </w:docPartPr>
      <w:docPartBody>
        <w:p w:rsidR="00750EAF" w:rsidRDefault="00750EAF">
          <w:pPr>
            <w:pStyle w:val="CE19DF38C7B54ECBB873C623FB02CB0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AF"/>
    <w:rsid w:val="0075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19DF38C7B54ECBB873C623FB02CB06">
    <w:name w:val="CE19DF38C7B54ECBB873C623FB02C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ECD4-C8BA-4CB9-BB24-0B02EA42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Progressivism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Progressivism, Organized Labor, and the Oklahoma Constitution</dc:title>
  <dc:creator>K20Center@groups.ou.edu</dc:creator>
  <cp:lastModifiedBy>Anna G. Patrick</cp:lastModifiedBy>
  <cp:revision>7</cp:revision>
  <cp:lastPrinted>2016-07-14T14:08:00Z</cp:lastPrinted>
  <dcterms:created xsi:type="dcterms:W3CDTF">2020-05-05T20:41:00Z</dcterms:created>
  <dcterms:modified xsi:type="dcterms:W3CDTF">2022-06-06T19:44:00Z</dcterms:modified>
</cp:coreProperties>
</file>