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43" w:rsidRPr="00D10784" w:rsidRDefault="00D10784" w:rsidP="00D10784">
      <w:pPr>
        <w:spacing w:line="276" w:lineRule="auto"/>
        <w:rPr>
          <w:b/>
          <w:sz w:val="28"/>
          <w:szCs w:val="28"/>
        </w:rPr>
      </w:pPr>
      <w:r w:rsidRPr="00D10784">
        <w:rPr>
          <w:b/>
          <w:color w:val="313131" w:themeColor="accent4" w:themeShade="80"/>
          <w:sz w:val="28"/>
          <w:szCs w:val="28"/>
        </w:rPr>
        <w:t>WHERE DO OUR LOCAL TAXES GO?</w:t>
      </w:r>
    </w:p>
    <w:p w:rsidR="00756C17" w:rsidRPr="00D10784" w:rsidRDefault="003D0A76" w:rsidP="00D10784">
      <w:pPr>
        <w:spacing w:line="276" w:lineRule="auto"/>
      </w:pPr>
      <w:r w:rsidRPr="00D10784">
        <w:t>Understanding how state and local taxes are separated is a tricky business.</w:t>
      </w:r>
      <w:r w:rsidR="00D10784">
        <w:t xml:space="preserve"> </w:t>
      </w:r>
      <w:r w:rsidRPr="00D10784">
        <w:t>Some of the tax dollars that you spend are used both locally and by the state.</w:t>
      </w:r>
      <w:r w:rsidR="00756C17" w:rsidRPr="00D10784">
        <w:t xml:space="preserve"> This is called </w:t>
      </w:r>
      <w:r w:rsidR="00756C17" w:rsidRPr="00D10784">
        <w:rPr>
          <w:b/>
        </w:rPr>
        <w:t xml:space="preserve">intergovernmental revenue </w:t>
      </w:r>
      <w:r w:rsidR="00756C17" w:rsidRPr="00D10784">
        <w:t>because both state and local governments get a percentage of the</w:t>
      </w:r>
      <w:r w:rsidR="00763173" w:rsidRPr="00D10784">
        <w:t xml:space="preserve"> same</w:t>
      </w:r>
      <w:r w:rsidR="00756C17" w:rsidRPr="00D10784">
        <w:t xml:space="preserve"> tax dollars. </w:t>
      </w:r>
      <w:r w:rsidR="00763173" w:rsidRPr="00D10784">
        <w:t>For example, a portion of local sales taxes are shared with the st</w:t>
      </w:r>
      <w:r w:rsidR="00D10784">
        <w:t>ate government to benefit all Oklahoma</w:t>
      </w:r>
      <w:r w:rsidR="00763173" w:rsidRPr="00D10784">
        <w:t xml:space="preserve"> citizens.</w:t>
      </w:r>
    </w:p>
    <w:p w:rsidR="003D0A76" w:rsidRPr="00D10784" w:rsidRDefault="00756C17" w:rsidP="00D10784">
      <w:pPr>
        <w:spacing w:line="276" w:lineRule="auto"/>
      </w:pPr>
      <w:r w:rsidRPr="00D10784">
        <w:t>The</w:t>
      </w:r>
      <w:r w:rsidR="003D0A76" w:rsidRPr="00D10784">
        <w:t xml:space="preserve"> state</w:t>
      </w:r>
      <w:r w:rsidRPr="00D10784">
        <w:t xml:space="preserve"> o</w:t>
      </w:r>
      <w:r w:rsidR="00D10784">
        <w:t>f Oklahoma</w:t>
      </w:r>
      <w:r w:rsidRPr="00D10784">
        <w:t xml:space="preserve"> </w:t>
      </w:r>
      <w:r w:rsidR="003D0A76" w:rsidRPr="00D10784">
        <w:t xml:space="preserve">has both </w:t>
      </w:r>
      <w:r w:rsidR="003D0A76" w:rsidRPr="00D10784">
        <w:rPr>
          <w:b/>
        </w:rPr>
        <w:t>metropolitan</w:t>
      </w:r>
      <w:r w:rsidR="003D0A76" w:rsidRPr="00D10784">
        <w:t xml:space="preserve"> and </w:t>
      </w:r>
      <w:r w:rsidR="003D0A76" w:rsidRPr="00D10784">
        <w:rPr>
          <w:b/>
        </w:rPr>
        <w:t xml:space="preserve">rural </w:t>
      </w:r>
      <w:r w:rsidR="00763173" w:rsidRPr="00D10784">
        <w:t>areas</w:t>
      </w:r>
      <w:r w:rsidR="00D10784">
        <w:t>,</w:t>
      </w:r>
      <w:r w:rsidR="00763173" w:rsidRPr="00D10784">
        <w:t xml:space="preserve"> so</w:t>
      </w:r>
      <w:r w:rsidR="003D0A76" w:rsidRPr="00D10784">
        <w:t xml:space="preserve"> taxes are usually collected and reported by counties.</w:t>
      </w:r>
      <w:r w:rsidR="00D10784">
        <w:t xml:space="preserve"> </w:t>
      </w:r>
      <w:r w:rsidR="003D0A76" w:rsidRPr="00D10784">
        <w:t xml:space="preserve">County hospitals generate the most </w:t>
      </w:r>
      <w:r w:rsidR="003D0A76" w:rsidRPr="00D10784">
        <w:rPr>
          <w:b/>
        </w:rPr>
        <w:t xml:space="preserve">revenue </w:t>
      </w:r>
      <w:r w:rsidR="003D0A76" w:rsidRPr="00D10784">
        <w:t>for the county from user fees.</w:t>
      </w:r>
      <w:r w:rsidR="00D10784">
        <w:t xml:space="preserve"> </w:t>
      </w:r>
      <w:r w:rsidR="003D0A76" w:rsidRPr="00D10784">
        <w:t>Revenue</w:t>
      </w:r>
      <w:r w:rsidR="003D0A76" w:rsidRPr="00D10784">
        <w:rPr>
          <w:b/>
        </w:rPr>
        <w:t xml:space="preserve"> </w:t>
      </w:r>
      <w:r w:rsidR="003D0A76" w:rsidRPr="00D10784">
        <w:t>is any income created at the local, state</w:t>
      </w:r>
      <w:r w:rsidR="00D10784">
        <w:t>,</w:t>
      </w:r>
      <w:r w:rsidR="003D0A76" w:rsidRPr="00D10784">
        <w:t xml:space="preserve"> or federal levels that is used to support public services and programs.</w:t>
      </w:r>
      <w:r w:rsidR="00D10784">
        <w:t xml:space="preserve"> </w:t>
      </w:r>
      <w:r w:rsidR="003D0A76" w:rsidRPr="00D10784">
        <w:t>Another</w:t>
      </w:r>
      <w:r w:rsidR="00C76F38" w:rsidRPr="00D10784">
        <w:t xml:space="preserve"> large</w:t>
      </w:r>
      <w:r w:rsidR="003D0A76" w:rsidRPr="00D10784">
        <w:t xml:space="preserve"> source</w:t>
      </w:r>
      <w:r w:rsidR="002B07B1" w:rsidRPr="00D10784">
        <w:t xml:space="preserve"> of income for local government</w:t>
      </w:r>
      <w:r w:rsidR="00D10784">
        <w:t>al</w:t>
      </w:r>
      <w:r w:rsidR="002B07B1" w:rsidRPr="00D10784">
        <w:t xml:space="preserve"> revenue</w:t>
      </w:r>
      <w:r w:rsidR="003D0A76" w:rsidRPr="00D10784">
        <w:t xml:space="preserve"> is property taxes.</w:t>
      </w:r>
      <w:r w:rsidR="00D10784">
        <w:t xml:space="preserve"> </w:t>
      </w:r>
      <w:r w:rsidR="00C76F38" w:rsidRPr="00D10784">
        <w:t xml:space="preserve">Property taxes are calculated </w:t>
      </w:r>
      <w:r w:rsidR="00D10784">
        <w:t xml:space="preserve">based </w:t>
      </w:r>
      <w:r w:rsidR="00C76F38" w:rsidRPr="00D10784">
        <w:t>on the value of the property and where it is located.</w:t>
      </w:r>
      <w:r w:rsidR="00D10784">
        <w:t xml:space="preserve"> </w:t>
      </w:r>
      <w:r w:rsidR="00C76F38" w:rsidRPr="00D10784">
        <w:t>Some counties have higher property taxes than other counties.</w:t>
      </w:r>
    </w:p>
    <w:p w:rsidR="00C76F38" w:rsidRPr="00D10784" w:rsidRDefault="00C76F38" w:rsidP="00D10784">
      <w:pPr>
        <w:spacing w:line="276" w:lineRule="auto"/>
      </w:pPr>
      <w:r w:rsidRPr="00D10784">
        <w:t xml:space="preserve">In addition to sales taxes, cities and towns collect fees </w:t>
      </w:r>
      <w:r w:rsidR="00D10784">
        <w:t>for</w:t>
      </w:r>
      <w:r w:rsidRPr="00D10784">
        <w:t xml:space="preserve"> the use of water, electricity or gas, sewage, and trash services.</w:t>
      </w:r>
      <w:r w:rsidR="00D10784">
        <w:t xml:space="preserve"> Most taxes collected (</w:t>
      </w:r>
      <w:r w:rsidR="002B07B1" w:rsidRPr="00D10784">
        <w:t xml:space="preserve">with </w:t>
      </w:r>
      <w:r w:rsidR="00D10784">
        <w:t>the exception of property taxes)</w:t>
      </w:r>
      <w:r w:rsidR="002B07B1" w:rsidRPr="00D10784">
        <w:t xml:space="preserve"> are called </w:t>
      </w:r>
      <w:r w:rsidR="002B07B1" w:rsidRPr="00D10784">
        <w:rPr>
          <w:b/>
        </w:rPr>
        <w:t>regressive taxes</w:t>
      </w:r>
      <w:r w:rsidR="00D10784" w:rsidRPr="00D10784">
        <w:t>—</w:t>
      </w:r>
      <w:r w:rsidR="002B07B1" w:rsidRPr="00D10784">
        <w:t>that</w:t>
      </w:r>
      <w:r w:rsidR="00D10784">
        <w:t xml:space="preserve"> </w:t>
      </w:r>
      <w:r w:rsidR="002B07B1" w:rsidRPr="00D10784">
        <w:t>is</w:t>
      </w:r>
      <w:r w:rsidR="00D10784">
        <w:t>,</w:t>
      </w:r>
      <w:r w:rsidR="002B07B1" w:rsidRPr="00D10784">
        <w:t xml:space="preserve"> they </w:t>
      </w:r>
      <w:r w:rsidR="002B07B1" w:rsidRPr="00D10784">
        <w:rPr>
          <w:b/>
        </w:rPr>
        <w:t>are essentially the same amount collected</w:t>
      </w:r>
      <w:r w:rsidR="00D10784">
        <w:rPr>
          <w:b/>
        </w:rPr>
        <w:t>, regardless of</w:t>
      </w:r>
      <w:r w:rsidR="002B07B1" w:rsidRPr="00D10784">
        <w:rPr>
          <w:b/>
        </w:rPr>
        <w:t xml:space="preserve"> whether a person has a low income or a high income.</w:t>
      </w:r>
      <w:r w:rsidR="00D10784">
        <w:t xml:space="preserve"> </w:t>
      </w:r>
      <w:r w:rsidR="002B07B1" w:rsidRPr="00D10784">
        <w:t xml:space="preserve">For example, a monthly water bill and the taxes collected on it are based on how much water has been used by the taxpayer, not </w:t>
      </w:r>
      <w:r w:rsidR="00D10784">
        <w:t xml:space="preserve">on </w:t>
      </w:r>
      <w:r w:rsidR="002B07B1" w:rsidRPr="00D10784">
        <w:t xml:space="preserve">whether the person has a low income or high income. A sales tax on groceries </w:t>
      </w:r>
      <w:r w:rsidR="00D10784">
        <w:t xml:space="preserve">remains the same percentage, regardless of income, and is calculated </w:t>
      </w:r>
      <w:r w:rsidR="00D10784" w:rsidRPr="00D10784">
        <w:t>based</w:t>
      </w:r>
      <w:r w:rsidR="002B07B1" w:rsidRPr="00D10784">
        <w:t xml:space="preserve"> upon how much </w:t>
      </w:r>
      <w:r w:rsidR="00D10784">
        <w:t>customers</w:t>
      </w:r>
      <w:r w:rsidR="002B07B1" w:rsidRPr="00D10784">
        <w:t xml:space="preserve"> purchase.</w:t>
      </w:r>
      <w:r w:rsidR="00D10784">
        <w:t xml:space="preserve"> </w:t>
      </w:r>
    </w:p>
    <w:p w:rsidR="00460D5F" w:rsidRPr="00D10784" w:rsidRDefault="006816BA" w:rsidP="00D10784">
      <w:pPr>
        <w:spacing w:line="276" w:lineRule="auto"/>
      </w:pPr>
      <w:r w:rsidRPr="00D10784">
        <w:t>These revenues are used to support local government services.</w:t>
      </w:r>
      <w:r w:rsidR="00D10784">
        <w:t xml:space="preserve"> </w:t>
      </w:r>
      <w:r w:rsidRPr="00D10784">
        <w:t xml:space="preserve">Services vary widely by the size of the city or town, </w:t>
      </w:r>
      <w:r w:rsidR="00D10784">
        <w:t xml:space="preserve">the </w:t>
      </w:r>
      <w:r w:rsidRPr="00D10784">
        <w:t>money available, and the wishes of the community.</w:t>
      </w:r>
      <w:r w:rsidR="00D10784">
        <w:t xml:space="preserve"> </w:t>
      </w:r>
      <w:r w:rsidRPr="00D10784">
        <w:t xml:space="preserve">Most municipal services include local police protection, fire and emergency services, water, sewer, garbage collection, local street construction and repair, parks and recreation areas, libraries, and animal shelters. </w:t>
      </w:r>
    </w:p>
    <w:p w:rsidR="006816BA" w:rsidRPr="00D10784" w:rsidRDefault="00460D5F" w:rsidP="00D10784">
      <w:pPr>
        <w:spacing w:line="276" w:lineRule="auto"/>
      </w:pPr>
      <w:r w:rsidRPr="00D10784">
        <w:t>Property taxes are an important source of revenu</w:t>
      </w:r>
      <w:r w:rsidR="00D10784">
        <w:t xml:space="preserve">e for local schools, vocational and/or </w:t>
      </w:r>
      <w:r w:rsidRPr="00D10784">
        <w:t>technical education, libraries,</w:t>
      </w:r>
      <w:r w:rsidR="00D10784">
        <w:t xml:space="preserve"> and</w:t>
      </w:r>
      <w:r w:rsidRPr="00D10784">
        <w:t xml:space="preserve"> city and county government. As in most states in the United States, property taxes are the backbone of funding of local government and schools. Oklahoma’s property tax </w:t>
      </w:r>
      <w:r w:rsidR="00D10784">
        <w:t>(</w:t>
      </w:r>
      <w:r w:rsidRPr="00D10784">
        <w:t>with some changes</w:t>
      </w:r>
      <w:r w:rsidR="00D10784">
        <w:t>)</w:t>
      </w:r>
      <w:r w:rsidRPr="00D10784">
        <w:t xml:space="preserve"> has fulfilled this basic function since statehood.</w:t>
      </w:r>
      <w:r w:rsidRPr="00D10784">
        <w:br/>
      </w:r>
      <w:r w:rsidRPr="00D10784">
        <w:br/>
        <w:t>Generally, local schools receive the largest share of the property tax.</w:t>
      </w:r>
      <w:r w:rsidR="00D10784">
        <w:t xml:space="preserve"> Spending on schools is then</w:t>
      </w:r>
      <w:r w:rsidRPr="00D10784">
        <w:t xml:space="preserve"> followed by city bond issues, county governmen</w:t>
      </w:r>
      <w:r w:rsidR="00D10784">
        <w:t xml:space="preserve">t, vocational and/or </w:t>
      </w:r>
      <w:r w:rsidRPr="00D10784">
        <w:t xml:space="preserve">technical schools, libraries, and </w:t>
      </w:r>
      <w:r w:rsidR="00D10784">
        <w:t xml:space="preserve">the </w:t>
      </w:r>
      <w:bookmarkStart w:id="0" w:name="_GoBack"/>
      <w:bookmarkEnd w:id="0"/>
      <w:r w:rsidR="00D10784">
        <w:t xml:space="preserve">city and </w:t>
      </w:r>
      <w:r w:rsidRPr="00D10784">
        <w:t>county health department</w:t>
      </w:r>
      <w:r w:rsidR="00D10784">
        <w:t>s</w:t>
      </w:r>
      <w:r w:rsidRPr="00D10784">
        <w:t>.</w:t>
      </w:r>
      <w:r w:rsidRPr="00D10784">
        <w:br/>
      </w:r>
      <w:r w:rsidRPr="00D10784">
        <w:br/>
      </w:r>
      <w:r w:rsidR="006816BA" w:rsidRPr="00D10784">
        <w:t>In addition to providin</w:t>
      </w:r>
      <w:r w:rsidR="00756C17" w:rsidRPr="00D10784">
        <w:t>g needed services to residents</w:t>
      </w:r>
      <w:r w:rsidR="006816BA" w:rsidRPr="00D10784">
        <w:t xml:space="preserve">, some revenue dollars are spent on enforcing building codes, parking requirements, and city </w:t>
      </w:r>
      <w:r w:rsidR="006816BA" w:rsidRPr="00D10784">
        <w:rPr>
          <w:b/>
        </w:rPr>
        <w:t xml:space="preserve">ordinances </w:t>
      </w:r>
      <w:r w:rsidR="00D10784" w:rsidRPr="00D10784">
        <w:t>(</w:t>
      </w:r>
      <w:r w:rsidR="006816BA" w:rsidRPr="00D10784">
        <w:t>or city requirements for living within the city limits</w:t>
      </w:r>
      <w:r w:rsidR="00D10784">
        <w:t>)</w:t>
      </w:r>
      <w:r w:rsidR="006816BA" w:rsidRPr="00D10784">
        <w:t>.</w:t>
      </w:r>
      <w:r w:rsidR="00D10784">
        <w:t xml:space="preserve"> </w:t>
      </w:r>
      <w:r w:rsidR="006816BA" w:rsidRPr="00D10784">
        <w:t>Usually, these city ordinances have been approved by the city council or voted on by the local citizens.</w:t>
      </w:r>
      <w:r w:rsidR="00D10784">
        <w:t xml:space="preserve"> </w:t>
      </w:r>
      <w:r w:rsidR="006816BA" w:rsidRPr="00D10784">
        <w:t>For example, if a city ordinance allows no resident to have barnyard animals living in their backyard, then some local tax dollars pay for this ordinance to be enforced.</w:t>
      </w:r>
      <w:r w:rsidR="00D10784">
        <w:t xml:space="preserve"> </w:t>
      </w:r>
      <w:r w:rsidR="00756C17" w:rsidRPr="00D10784">
        <w:t>Cities and towns want to maintain their services and attractiveness to encourage new people to live there.</w:t>
      </w:r>
      <w:r w:rsidR="00763173" w:rsidRPr="00D10784">
        <w:t xml:space="preserve"> Oklahoma City residents</w:t>
      </w:r>
      <w:r w:rsidR="00EE6609">
        <w:t>,</w:t>
      </w:r>
      <w:r w:rsidR="00763173" w:rsidRPr="00D10784">
        <w:t xml:space="preserve"> in recent years</w:t>
      </w:r>
      <w:r w:rsidR="00EE6609">
        <w:t>,</w:t>
      </w:r>
      <w:r w:rsidR="00763173" w:rsidRPr="00D10784">
        <w:t xml:space="preserve"> have voted on and approved an ext</w:t>
      </w:r>
      <w:r w:rsidR="00EE6609">
        <w:t>ra one-</w:t>
      </w:r>
      <w:r w:rsidR="00763173" w:rsidRPr="00D10784">
        <w:t>cent sales tax to create</w:t>
      </w:r>
      <w:r w:rsidR="00F07C8B" w:rsidRPr="00D10784">
        <w:t xml:space="preserve"> new</w:t>
      </w:r>
      <w:r w:rsidR="00763173" w:rsidRPr="00D10784">
        <w:t xml:space="preserve"> tourist areas</w:t>
      </w:r>
      <w:r w:rsidR="00EE6609">
        <w:t>,</w:t>
      </w:r>
      <w:r w:rsidR="00763173" w:rsidRPr="00D10784">
        <w:t xml:space="preserve"> such as Bricktown</w:t>
      </w:r>
      <w:r w:rsidR="00EE6609">
        <w:t>,</w:t>
      </w:r>
      <w:r w:rsidR="00763173" w:rsidRPr="00D10784">
        <w:t xml:space="preserve"> and improve local school facilities. </w:t>
      </w:r>
    </w:p>
    <w:p w:rsidR="0003530E" w:rsidRPr="00EE6609" w:rsidRDefault="0003530E" w:rsidP="00D10784">
      <w:pPr>
        <w:spacing w:line="276" w:lineRule="auto"/>
        <w:rPr>
          <w:b/>
          <w:color w:val="3E5C61" w:themeColor="accent6"/>
          <w:sz w:val="18"/>
          <w:szCs w:val="18"/>
        </w:rPr>
      </w:pPr>
      <w:r w:rsidRPr="00EE6609">
        <w:rPr>
          <w:b/>
          <w:color w:val="3E5C61" w:themeColor="accent6"/>
          <w:sz w:val="18"/>
          <w:szCs w:val="18"/>
        </w:rPr>
        <w:lastRenderedPageBreak/>
        <w:t>Sources:</w:t>
      </w:r>
    </w:p>
    <w:p w:rsidR="0003530E" w:rsidRPr="00EE6609" w:rsidRDefault="00EE6609" w:rsidP="00D10784">
      <w:pPr>
        <w:spacing w:line="276" w:lineRule="auto"/>
        <w:rPr>
          <w:i/>
          <w:color w:val="3E5C61" w:themeColor="accent6"/>
          <w:sz w:val="18"/>
          <w:szCs w:val="18"/>
        </w:rPr>
      </w:pPr>
      <w:r w:rsidRPr="00EE6609">
        <w:rPr>
          <w:i/>
          <w:color w:val="3E5C61" w:themeColor="accent6"/>
          <w:sz w:val="18"/>
          <w:szCs w:val="18"/>
        </w:rPr>
        <w:t>Oklahoma Policy Institute.</w:t>
      </w:r>
      <w:r w:rsidR="0003530E" w:rsidRPr="00EE6609">
        <w:rPr>
          <w:i/>
          <w:color w:val="3E5C61" w:themeColor="accent6"/>
          <w:sz w:val="18"/>
          <w:szCs w:val="18"/>
        </w:rPr>
        <w:t xml:space="preserve"> (2017). </w:t>
      </w:r>
      <w:r w:rsidRPr="00EE6609">
        <w:rPr>
          <w:i/>
          <w:color w:val="3E5C61" w:themeColor="accent6"/>
          <w:sz w:val="18"/>
          <w:szCs w:val="18"/>
        </w:rPr>
        <w:t xml:space="preserve">Local government revenues. In OKPolicy.org Online Budget Guide. Retrieved from </w:t>
      </w:r>
      <w:r w:rsidR="0003530E" w:rsidRPr="00EE6609">
        <w:rPr>
          <w:i/>
          <w:color w:val="3E5C61" w:themeColor="accent6"/>
          <w:sz w:val="18"/>
          <w:szCs w:val="18"/>
        </w:rPr>
        <w:t>http://ok</w:t>
      </w:r>
      <w:r w:rsidR="0003530E" w:rsidRPr="00EE6609">
        <w:rPr>
          <w:i/>
          <w:color w:val="3E5C61" w:themeColor="accent6"/>
          <w:sz w:val="18"/>
          <w:szCs w:val="18"/>
        </w:rPr>
        <w:t>policy.org/resources/online-budget-guide/revenues/local-government-revenues/</w:t>
      </w:r>
    </w:p>
    <w:p w:rsidR="00EE6609" w:rsidRPr="00EE6609" w:rsidRDefault="00EE6609" w:rsidP="00D10784">
      <w:pPr>
        <w:spacing w:line="276" w:lineRule="auto"/>
        <w:rPr>
          <w:i/>
          <w:color w:val="3E5C61" w:themeColor="accent6"/>
          <w:sz w:val="18"/>
          <w:szCs w:val="18"/>
        </w:rPr>
      </w:pPr>
      <w:r w:rsidRPr="00EE6609">
        <w:rPr>
          <w:i/>
          <w:color w:val="3E5C61" w:themeColor="accent6"/>
          <w:sz w:val="18"/>
          <w:szCs w:val="18"/>
        </w:rPr>
        <w:t xml:space="preserve">Oklahoma Policy Institute. (2017). Regressive features of the tax system. In OKPolicy.org Online Budget Guide. Retrieved from </w:t>
      </w:r>
      <w:r w:rsidRPr="00EE6609">
        <w:rPr>
          <w:i/>
          <w:color w:val="3E5C61" w:themeColor="accent6"/>
          <w:sz w:val="18"/>
          <w:szCs w:val="18"/>
        </w:rPr>
        <w:t>http://okpolicy.org/resources/online-budget-guide/policy-challenges-we-face/tax-fairness/regressive-features-of-the-tax-system/</w:t>
      </w:r>
    </w:p>
    <w:p w:rsidR="00EE6609" w:rsidRPr="00EE6609" w:rsidRDefault="00EE6609" w:rsidP="00D10784">
      <w:pPr>
        <w:spacing w:line="276" w:lineRule="auto"/>
        <w:rPr>
          <w:i/>
          <w:color w:val="3E5C61" w:themeColor="accent6"/>
          <w:sz w:val="18"/>
          <w:szCs w:val="18"/>
        </w:rPr>
      </w:pPr>
      <w:r w:rsidRPr="00EE6609">
        <w:rPr>
          <w:i/>
          <w:color w:val="3E5C61" w:themeColor="accent6"/>
          <w:sz w:val="18"/>
          <w:szCs w:val="18"/>
        </w:rPr>
        <w:t xml:space="preserve">Oklahoma Policy Institute. (2017). Total revenues of Oklahoma governments. In OKPolicy.org Online Budget Guide. Retrieved from </w:t>
      </w:r>
      <w:r w:rsidRPr="00EE6609">
        <w:rPr>
          <w:i/>
          <w:color w:val="3E5C61" w:themeColor="accent6"/>
          <w:sz w:val="18"/>
          <w:szCs w:val="18"/>
        </w:rPr>
        <w:t>http://okpolicy.org/resources/online-budget-guide/revenues/total-revenues-of-oklahoma-governments/</w:t>
      </w:r>
    </w:p>
    <w:p w:rsidR="009F1531" w:rsidRPr="00EE6609" w:rsidRDefault="00EE6609" w:rsidP="00D10784">
      <w:pPr>
        <w:spacing w:line="276" w:lineRule="auto"/>
        <w:rPr>
          <w:i/>
          <w:color w:val="3E5C61" w:themeColor="accent6"/>
          <w:sz w:val="18"/>
          <w:szCs w:val="18"/>
        </w:rPr>
      </w:pPr>
      <w:r w:rsidRPr="00EE6609">
        <w:rPr>
          <w:i/>
          <w:color w:val="3E5C61" w:themeColor="accent6"/>
          <w:sz w:val="18"/>
          <w:szCs w:val="18"/>
        </w:rPr>
        <w:t xml:space="preserve">Oklahoma Tax Commission. </w:t>
      </w:r>
      <w:r w:rsidR="009F1531" w:rsidRPr="00EE6609">
        <w:rPr>
          <w:i/>
          <w:color w:val="3E5C61" w:themeColor="accent6"/>
          <w:sz w:val="18"/>
          <w:szCs w:val="18"/>
        </w:rPr>
        <w:t xml:space="preserve">(2017). </w:t>
      </w:r>
      <w:r w:rsidRPr="00EE6609">
        <w:rPr>
          <w:i/>
          <w:color w:val="3E5C61" w:themeColor="accent6"/>
          <w:sz w:val="18"/>
          <w:szCs w:val="18"/>
        </w:rPr>
        <w:t>Oklahoma property taxes 2017: Taxpayers’ rights, remedies and responsibilities</w:t>
      </w:r>
      <w:r w:rsidR="009F1531" w:rsidRPr="00EE6609">
        <w:rPr>
          <w:i/>
          <w:color w:val="3E5C61" w:themeColor="accent6"/>
          <w:sz w:val="18"/>
          <w:szCs w:val="18"/>
        </w:rPr>
        <w:t>.</w:t>
      </w:r>
      <w:r w:rsidRPr="00EE6609">
        <w:rPr>
          <w:i/>
          <w:color w:val="3E5C61" w:themeColor="accent6"/>
          <w:sz w:val="18"/>
          <w:szCs w:val="18"/>
        </w:rPr>
        <w:t xml:space="preserve"> Taxpayer Education Series.</w:t>
      </w:r>
      <w:r w:rsidR="009F1531" w:rsidRPr="00EE6609">
        <w:rPr>
          <w:i/>
          <w:color w:val="3E5C61" w:themeColor="accent6"/>
          <w:sz w:val="18"/>
          <w:szCs w:val="18"/>
        </w:rPr>
        <w:t xml:space="preserve"> Retrieved fro</w:t>
      </w:r>
      <w:r w:rsidRPr="00EE6609">
        <w:rPr>
          <w:i/>
          <w:color w:val="3E5C61" w:themeColor="accent6"/>
          <w:sz w:val="18"/>
          <w:szCs w:val="18"/>
        </w:rPr>
        <w:t>m</w:t>
      </w:r>
      <w:r w:rsidR="009F1531" w:rsidRPr="00EE6609">
        <w:rPr>
          <w:i/>
          <w:color w:val="3E5C61" w:themeColor="accent6"/>
          <w:sz w:val="18"/>
          <w:szCs w:val="18"/>
        </w:rPr>
        <w:t xml:space="preserve"> https://www.ok.gov/</w:t>
      </w:r>
      <w:r w:rsidR="009F1531" w:rsidRPr="00EE6609">
        <w:rPr>
          <w:i/>
          <w:color w:val="3E5C61" w:themeColor="accent6"/>
          <w:sz w:val="18"/>
          <w:szCs w:val="18"/>
        </w:rPr>
        <w:t>tax/documents/TES-14.pdf</w:t>
      </w:r>
    </w:p>
    <w:p w:rsidR="0003530E" w:rsidRPr="00D10784" w:rsidRDefault="0003530E" w:rsidP="00D10784">
      <w:pPr>
        <w:spacing w:line="276" w:lineRule="auto"/>
      </w:pPr>
    </w:p>
    <w:sectPr w:rsidR="0003530E" w:rsidRPr="00D10784" w:rsidSect="00D1078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69" w:rsidRDefault="00360969" w:rsidP="00917071">
      <w:pPr>
        <w:spacing w:after="0" w:line="240" w:lineRule="auto"/>
      </w:pPr>
      <w:r>
        <w:separator/>
      </w:r>
    </w:p>
  </w:endnote>
  <w:endnote w:type="continuationSeparator" w:id="0">
    <w:p w:rsidR="00360969" w:rsidRDefault="00360969" w:rsidP="0091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71" w:rsidRPr="00EE6609" w:rsidRDefault="00917071" w:rsidP="00EE6609">
    <w:pPr>
      <w:pStyle w:val="Footer"/>
      <w:tabs>
        <w:tab w:val="clear" w:pos="9360"/>
      </w:tabs>
      <w:ind w:right="900"/>
      <w:jc w:val="right"/>
      <w:rPr>
        <w:b/>
      </w:rPr>
    </w:pPr>
    <w:r w:rsidRPr="00EE6609">
      <w:rPr>
        <w:b/>
        <w:noProof/>
        <w:color w:val="313131" w:themeColor="accent4" w:themeShade="80"/>
      </w:rPr>
      <w:drawing>
        <wp:anchor distT="0" distB="0" distL="114300" distR="114300" simplePos="0" relativeHeight="251659264" behindDoc="1" locked="0" layoutInCell="1" allowOverlap="1" wp14:anchorId="11674CE4" wp14:editId="42FD84CB">
          <wp:simplePos x="0" y="0"/>
          <wp:positionH relativeFrom="margin">
            <wp:align>right</wp:align>
          </wp:positionH>
          <wp:positionV relativeFrom="paragraph">
            <wp:posOffset>7813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74E7" w:rsidRPr="00EE6609">
      <w:rPr>
        <w:b/>
        <w:color w:val="313131" w:themeColor="accent4" w:themeShade="80"/>
      </w:rPr>
      <w:t>WHY DO WE PAY TAXES?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09" w:rsidRPr="00EE6609" w:rsidRDefault="00EE6609" w:rsidP="00EE6609">
    <w:pPr>
      <w:pStyle w:val="Footer"/>
      <w:tabs>
        <w:tab w:val="clear" w:pos="4680"/>
        <w:tab w:val="clear" w:pos="9360"/>
        <w:tab w:val="left" w:pos="8124"/>
      </w:tabs>
      <w:ind w:right="1620"/>
      <w:jc w:val="right"/>
      <w:rPr>
        <w:b/>
      </w:rPr>
    </w:pPr>
    <w:r w:rsidRPr="00EE6609">
      <w:rPr>
        <w:b/>
        <w:noProof/>
        <w:color w:val="313131" w:themeColor="accent4" w:themeShade="80"/>
      </w:rPr>
      <w:drawing>
        <wp:anchor distT="0" distB="0" distL="114300" distR="114300" simplePos="0" relativeHeight="251661312" behindDoc="1" locked="0" layoutInCell="1" allowOverlap="1" wp14:anchorId="5F15617E" wp14:editId="524A0174">
          <wp:simplePos x="0" y="0"/>
          <wp:positionH relativeFrom="margin">
            <wp:posOffset>914400</wp:posOffset>
          </wp:positionH>
          <wp:positionV relativeFrom="paragraph">
            <wp:posOffset>-60960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6609">
      <w:rPr>
        <w:b/>
        <w:color w:val="313131" w:themeColor="accent4" w:themeShade="80"/>
      </w:rPr>
      <w:t>WHY DO WE PAY TAXES?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69" w:rsidRDefault="00360969" w:rsidP="00917071">
      <w:pPr>
        <w:spacing w:after="0" w:line="240" w:lineRule="auto"/>
      </w:pPr>
      <w:r>
        <w:separator/>
      </w:r>
    </w:p>
  </w:footnote>
  <w:footnote w:type="continuationSeparator" w:id="0">
    <w:p w:rsidR="00360969" w:rsidRDefault="00360969" w:rsidP="0091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8861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0784" w:rsidRDefault="00D10784">
        <w:pPr>
          <w:pStyle w:val="Header"/>
        </w:pPr>
      </w:p>
    </w:sdtContent>
  </w:sdt>
  <w:p w:rsidR="00D10784" w:rsidRDefault="00D10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64395"/>
      <w:docPartObj>
        <w:docPartGallery w:val="Page Numbers (Top of Page)"/>
        <w:docPartUnique/>
      </w:docPartObj>
    </w:sdtPr>
    <w:sdtEndPr>
      <w:rPr>
        <w:b/>
        <w:noProof/>
        <w:color w:val="313131" w:themeColor="accent4" w:themeShade="80"/>
        <w:sz w:val="28"/>
        <w:szCs w:val="28"/>
      </w:rPr>
    </w:sdtEndPr>
    <w:sdtContent>
      <w:p w:rsidR="00D10784" w:rsidRPr="00D10784" w:rsidRDefault="00D10784">
        <w:pPr>
          <w:pStyle w:val="Header"/>
          <w:rPr>
            <w:b/>
            <w:color w:val="313131" w:themeColor="accent4" w:themeShade="80"/>
            <w:sz w:val="28"/>
            <w:szCs w:val="28"/>
          </w:rPr>
        </w:pPr>
        <w:r w:rsidRPr="00D10784">
          <w:rPr>
            <w:b/>
            <w:color w:val="313131" w:themeColor="accent4" w:themeShade="80"/>
            <w:sz w:val="28"/>
            <w:szCs w:val="28"/>
          </w:rPr>
          <w:fldChar w:fldCharType="begin"/>
        </w:r>
        <w:r w:rsidRPr="00D10784">
          <w:rPr>
            <w:b/>
            <w:color w:val="313131" w:themeColor="accent4" w:themeShade="80"/>
            <w:sz w:val="28"/>
            <w:szCs w:val="28"/>
          </w:rPr>
          <w:instrText xml:space="preserve"> PAGE   \* MERGEFORMAT </w:instrText>
        </w:r>
        <w:r w:rsidRPr="00D10784">
          <w:rPr>
            <w:b/>
            <w:color w:val="313131" w:themeColor="accent4" w:themeShade="80"/>
            <w:sz w:val="28"/>
            <w:szCs w:val="28"/>
          </w:rPr>
          <w:fldChar w:fldCharType="separate"/>
        </w:r>
        <w:r w:rsidR="00EE6609">
          <w:rPr>
            <w:b/>
            <w:noProof/>
            <w:color w:val="313131" w:themeColor="accent4" w:themeShade="80"/>
            <w:sz w:val="28"/>
            <w:szCs w:val="28"/>
          </w:rPr>
          <w:t>1</w:t>
        </w:r>
        <w:r w:rsidRPr="00D10784">
          <w:rPr>
            <w:b/>
            <w:noProof/>
            <w:color w:val="313131" w:themeColor="accent4" w:themeShade="80"/>
            <w:sz w:val="28"/>
            <w:szCs w:val="28"/>
          </w:rPr>
          <w:fldChar w:fldCharType="end"/>
        </w:r>
      </w:p>
    </w:sdtContent>
  </w:sdt>
  <w:p w:rsidR="00D10784" w:rsidRDefault="00D107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76"/>
    <w:rsid w:val="0003530E"/>
    <w:rsid w:val="002B07B1"/>
    <w:rsid w:val="002B38C1"/>
    <w:rsid w:val="00360969"/>
    <w:rsid w:val="003D0A76"/>
    <w:rsid w:val="00460D5F"/>
    <w:rsid w:val="006274E7"/>
    <w:rsid w:val="006816BA"/>
    <w:rsid w:val="006C4A3E"/>
    <w:rsid w:val="00756C17"/>
    <w:rsid w:val="00763173"/>
    <w:rsid w:val="00917071"/>
    <w:rsid w:val="009F1531"/>
    <w:rsid w:val="00A91867"/>
    <w:rsid w:val="00B9209D"/>
    <w:rsid w:val="00C76F38"/>
    <w:rsid w:val="00D10784"/>
    <w:rsid w:val="00EC4243"/>
    <w:rsid w:val="00EE6609"/>
    <w:rsid w:val="00F07C8B"/>
    <w:rsid w:val="00F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5903C"/>
  <w15:chartTrackingRefBased/>
  <w15:docId w15:val="{180E3C5A-06D7-4446-A02D-1BAC794D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30E"/>
    <w:rPr>
      <w:color w:val="910D28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7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071"/>
  </w:style>
  <w:style w:type="paragraph" w:styleId="Footer">
    <w:name w:val="footer"/>
    <w:basedOn w:val="Normal"/>
    <w:link w:val="FooterChar"/>
    <w:uiPriority w:val="99"/>
    <w:unhideWhenUsed/>
    <w:rsid w:val="00917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071"/>
  </w:style>
  <w:style w:type="character" w:styleId="FollowedHyperlink">
    <w:name w:val="FollowedHyperlink"/>
    <w:basedOn w:val="DefaultParagraphFont"/>
    <w:uiPriority w:val="99"/>
    <w:semiHidden/>
    <w:unhideWhenUsed/>
    <w:rsid w:val="00EE6609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E5192-C1C8-4805-A13B-0CC39AD9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Schlasner, Jacqueline</cp:lastModifiedBy>
  <cp:revision>3</cp:revision>
  <dcterms:created xsi:type="dcterms:W3CDTF">2017-06-19T19:40:00Z</dcterms:created>
  <dcterms:modified xsi:type="dcterms:W3CDTF">2017-06-30T18:26:00Z</dcterms:modified>
</cp:coreProperties>
</file>