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BC4937C" w14:textId="0DCB1DEE" w:rsidR="00446C13" w:rsidRPr="001872E7" w:rsidRDefault="00BA265E" w:rsidP="001872E7">
      <w:pPr>
        <w:pStyle w:val="Title"/>
      </w:pPr>
      <w:r>
        <w:t>History Frame</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7370"/>
        <w:gridCol w:w="2520"/>
        <w:gridCol w:w="2563"/>
      </w:tblGrid>
      <w:tr w:rsidR="00BA265E" w14:paraId="55D6866E" w14:textId="77777777" w:rsidTr="005A4765">
        <w:trPr>
          <w:trHeight w:val="1008"/>
        </w:trPr>
        <w:tc>
          <w:tcPr>
            <w:tcW w:w="7370" w:type="dxa"/>
          </w:tcPr>
          <w:p w14:paraId="6C66C0B8" w14:textId="77777777" w:rsidR="00BA265E" w:rsidRDefault="00BA265E" w:rsidP="00BA265E">
            <w:pPr>
              <w:pStyle w:val="RowHeader"/>
            </w:pPr>
            <w:r>
              <w:t>Participants/Key Players:</w:t>
            </w:r>
          </w:p>
          <w:p w14:paraId="081CED0A" w14:textId="3502991C" w:rsidR="005A4765" w:rsidRPr="005A4765" w:rsidRDefault="005A4765" w:rsidP="00E17219">
            <w:pPr>
              <w:spacing w:before="240" w:after="0" w:line="240" w:lineRule="auto"/>
              <w:rPr>
                <w:i/>
                <w:iCs/>
                <w:sz w:val="20"/>
                <w:szCs w:val="20"/>
              </w:rPr>
            </w:pPr>
            <w:r w:rsidRPr="005A4765">
              <w:rPr>
                <w:i/>
                <w:iCs/>
                <w:color w:val="3E5C61" w:themeColor="text2"/>
                <w:sz w:val="20"/>
                <w:szCs w:val="20"/>
              </w:rPr>
              <w:t>Lt. Col. Custer and the 7th Cavalry (U.S. Army) and Black Kettle’s band of Cheyenne</w:t>
            </w:r>
          </w:p>
        </w:tc>
        <w:tc>
          <w:tcPr>
            <w:tcW w:w="2520" w:type="dxa"/>
          </w:tcPr>
          <w:p w14:paraId="45153C73" w14:textId="77777777" w:rsidR="00BA265E" w:rsidRDefault="00BA265E" w:rsidP="00BA265E">
            <w:pPr>
              <w:pStyle w:val="RowHeader"/>
            </w:pPr>
            <w:r>
              <w:t>When:</w:t>
            </w:r>
          </w:p>
          <w:p w14:paraId="58BE5F97" w14:textId="48CA0CE4" w:rsidR="005A4765" w:rsidRDefault="005A4765" w:rsidP="00E17219">
            <w:pPr>
              <w:spacing w:before="240" w:after="0" w:line="240" w:lineRule="auto"/>
            </w:pPr>
            <w:r w:rsidRPr="005A4765">
              <w:rPr>
                <w:i/>
                <w:iCs/>
                <w:color w:val="3E5C61" w:themeColor="text2"/>
                <w:sz w:val="20"/>
                <w:szCs w:val="20"/>
              </w:rPr>
              <w:t>Nov. 27, 1868</w:t>
            </w:r>
            <w:r w:rsidR="005E0E8F">
              <w:rPr>
                <w:i/>
                <w:iCs/>
                <w:color w:val="3E5C61" w:themeColor="text2"/>
                <w:sz w:val="20"/>
                <w:szCs w:val="20"/>
              </w:rPr>
              <w:t>,</w:t>
            </w:r>
            <w:r w:rsidRPr="005A4765">
              <w:rPr>
                <w:i/>
                <w:iCs/>
                <w:color w:val="3E5C61" w:themeColor="text2"/>
                <w:sz w:val="20"/>
                <w:szCs w:val="20"/>
              </w:rPr>
              <w:t xml:space="preserve"> at dawn</w:t>
            </w:r>
          </w:p>
        </w:tc>
        <w:tc>
          <w:tcPr>
            <w:tcW w:w="2563" w:type="dxa"/>
          </w:tcPr>
          <w:p w14:paraId="0A8F93F3" w14:textId="77777777" w:rsidR="00BA265E" w:rsidRDefault="00BA265E" w:rsidP="00BA265E">
            <w:pPr>
              <w:pStyle w:val="RowHeader"/>
            </w:pPr>
            <w:r>
              <w:t>Where:</w:t>
            </w:r>
          </w:p>
          <w:p w14:paraId="1A65FE39" w14:textId="550BFDB7" w:rsidR="005A4765" w:rsidRDefault="005A4765" w:rsidP="00E17219">
            <w:pPr>
              <w:spacing w:before="240" w:after="0" w:line="240" w:lineRule="auto"/>
            </w:pPr>
            <w:r w:rsidRPr="005A4765">
              <w:rPr>
                <w:i/>
                <w:iCs/>
                <w:color w:val="3E5C61" w:themeColor="text2"/>
                <w:sz w:val="20"/>
                <w:szCs w:val="20"/>
              </w:rPr>
              <w:t>Banks of the Washita River in Indian Territory</w:t>
            </w:r>
          </w:p>
        </w:tc>
      </w:tr>
      <w:tr w:rsidR="00BA265E" w14:paraId="20F4AFB6" w14:textId="77777777" w:rsidTr="005A4765">
        <w:trPr>
          <w:trHeight w:val="2448"/>
        </w:trPr>
        <w:tc>
          <w:tcPr>
            <w:tcW w:w="7370" w:type="dxa"/>
          </w:tcPr>
          <w:p w14:paraId="2D60F64C" w14:textId="77777777" w:rsidR="00BA265E" w:rsidRDefault="00BA265E" w:rsidP="00BA265E">
            <w:pPr>
              <w:pStyle w:val="RowHeader"/>
            </w:pPr>
            <w:r>
              <w:t>Causes/Conflicts:</w:t>
            </w:r>
          </w:p>
          <w:p w14:paraId="1F25F6C4" w14:textId="77777777" w:rsidR="005A4765" w:rsidRPr="005A4765" w:rsidRDefault="005A4765" w:rsidP="00E17219">
            <w:pPr>
              <w:widowControl w:val="0"/>
              <w:numPr>
                <w:ilvl w:val="0"/>
                <w:numId w:val="13"/>
              </w:numPr>
              <w:spacing w:before="240" w:after="0" w:line="240" w:lineRule="auto"/>
              <w:rPr>
                <w:rFonts w:ascii="Calibri" w:eastAsia="Calibri" w:hAnsi="Calibri" w:cs="Calibri"/>
                <w:i/>
                <w:color w:val="3E5C61" w:themeColor="text1"/>
                <w:sz w:val="20"/>
                <w:szCs w:val="20"/>
              </w:rPr>
            </w:pPr>
            <w:r w:rsidRPr="005A4765">
              <w:rPr>
                <w:rFonts w:ascii="Calibri" w:eastAsia="Calibri" w:hAnsi="Calibri" w:cs="Calibri"/>
                <w:i/>
                <w:color w:val="3E5C61" w:themeColor="text1"/>
                <w:sz w:val="20"/>
                <w:szCs w:val="20"/>
              </w:rPr>
              <w:t>Expansion of white settlers into Cheyenne territory</w:t>
            </w:r>
          </w:p>
          <w:p w14:paraId="0E788849" w14:textId="7DF10F68" w:rsidR="005A4765" w:rsidRPr="005A4765" w:rsidRDefault="005A4765" w:rsidP="00E17219">
            <w:pPr>
              <w:widowControl w:val="0"/>
              <w:numPr>
                <w:ilvl w:val="0"/>
                <w:numId w:val="13"/>
              </w:numPr>
              <w:spacing w:after="0" w:line="240" w:lineRule="auto"/>
              <w:rPr>
                <w:rFonts w:ascii="Calibri" w:eastAsia="Calibri" w:hAnsi="Calibri" w:cs="Calibri"/>
                <w:i/>
                <w:color w:val="3E5C61" w:themeColor="text1"/>
                <w:sz w:val="20"/>
                <w:szCs w:val="20"/>
              </w:rPr>
            </w:pPr>
            <w:r w:rsidRPr="005A4765">
              <w:rPr>
                <w:rFonts w:ascii="Calibri" w:eastAsia="Calibri" w:hAnsi="Calibri" w:cs="Calibri"/>
                <w:i/>
                <w:color w:val="3E5C61" w:themeColor="text1"/>
                <w:sz w:val="20"/>
                <w:szCs w:val="20"/>
              </w:rPr>
              <w:t>U.S. reservation policy required traditionally nomadic peoples to live in small</w:t>
            </w:r>
            <w:r>
              <w:rPr>
                <w:rFonts w:ascii="Calibri" w:eastAsia="Calibri" w:hAnsi="Calibri" w:cs="Calibri"/>
                <w:i/>
                <w:color w:val="3E5C61" w:themeColor="text1"/>
                <w:sz w:val="20"/>
                <w:szCs w:val="20"/>
              </w:rPr>
              <w:t xml:space="preserve"> designat</w:t>
            </w:r>
            <w:r w:rsidRPr="005A4765">
              <w:rPr>
                <w:rFonts w:ascii="Calibri" w:eastAsia="Calibri" w:hAnsi="Calibri" w:cs="Calibri"/>
                <w:i/>
                <w:color w:val="3E5C61" w:themeColor="text1"/>
                <w:sz w:val="20"/>
                <w:szCs w:val="20"/>
              </w:rPr>
              <w:t>ed tracts of land</w:t>
            </w:r>
          </w:p>
          <w:p w14:paraId="610D1F08" w14:textId="23D1FEEA" w:rsidR="00E17219" w:rsidRPr="00E17219" w:rsidRDefault="005A4765" w:rsidP="00E17219">
            <w:pPr>
              <w:widowControl w:val="0"/>
              <w:numPr>
                <w:ilvl w:val="0"/>
                <w:numId w:val="15"/>
              </w:numPr>
              <w:spacing w:after="0" w:line="240" w:lineRule="auto"/>
              <w:rPr>
                <w:rFonts w:ascii="Calibri" w:eastAsia="Calibri" w:hAnsi="Calibri" w:cs="Calibri"/>
                <w:i/>
                <w:color w:val="3E5C61" w:themeColor="text1"/>
                <w:sz w:val="20"/>
                <w:szCs w:val="20"/>
              </w:rPr>
            </w:pPr>
            <w:r w:rsidRPr="00E17219">
              <w:rPr>
                <w:rFonts w:ascii="Calibri" w:eastAsia="Calibri" w:hAnsi="Calibri" w:cs="Calibri"/>
                <w:i/>
                <w:color w:val="3E5C61" w:themeColor="text1"/>
                <w:sz w:val="20"/>
                <w:szCs w:val="20"/>
              </w:rPr>
              <w:t>United States broke treaties when it failed to provide food and supplies to tribes</w:t>
            </w:r>
          </w:p>
          <w:p w14:paraId="0449DC0D" w14:textId="1EF60225" w:rsidR="00E17219" w:rsidRDefault="005A4765" w:rsidP="00E17219">
            <w:pPr>
              <w:widowControl w:val="0"/>
              <w:numPr>
                <w:ilvl w:val="0"/>
                <w:numId w:val="13"/>
              </w:numPr>
              <w:spacing w:after="0" w:line="240" w:lineRule="auto"/>
              <w:rPr>
                <w:rFonts w:ascii="Calibri" w:eastAsia="Calibri" w:hAnsi="Calibri" w:cs="Calibri"/>
                <w:i/>
                <w:color w:val="3E5C61" w:themeColor="text1"/>
                <w:sz w:val="20"/>
                <w:szCs w:val="20"/>
              </w:rPr>
            </w:pPr>
            <w:r w:rsidRPr="00E17219">
              <w:rPr>
                <w:rFonts w:ascii="Calibri" w:eastAsia="Calibri" w:hAnsi="Calibri" w:cs="Calibri"/>
                <w:i/>
                <w:color w:val="3E5C61" w:themeColor="text1"/>
                <w:sz w:val="20"/>
                <w:szCs w:val="20"/>
              </w:rPr>
              <w:t xml:space="preserve">Some Cheyenne and members of other tribes </w:t>
            </w:r>
            <w:r w:rsidR="00E17219">
              <w:rPr>
                <w:rFonts w:ascii="Calibri" w:eastAsia="Calibri" w:hAnsi="Calibri" w:cs="Calibri"/>
                <w:i/>
                <w:color w:val="3E5C61" w:themeColor="text1"/>
                <w:sz w:val="20"/>
                <w:szCs w:val="20"/>
              </w:rPr>
              <w:t>left the established reservation boundaries for hunting and, in some cases, to raid white settlements</w:t>
            </w:r>
          </w:p>
          <w:p w14:paraId="112A7180" w14:textId="429E9013" w:rsidR="005A4765" w:rsidRPr="00E17219" w:rsidRDefault="00E17219" w:rsidP="00E17219">
            <w:pPr>
              <w:widowControl w:val="0"/>
              <w:numPr>
                <w:ilvl w:val="0"/>
                <w:numId w:val="13"/>
              </w:numPr>
              <w:spacing w:after="0" w:line="240" w:lineRule="auto"/>
              <w:rPr>
                <w:rFonts w:ascii="Calibri" w:eastAsia="Calibri" w:hAnsi="Calibri" w:cs="Calibri"/>
                <w:i/>
                <w:color w:val="3E5C61" w:themeColor="text1"/>
                <w:sz w:val="20"/>
                <w:szCs w:val="20"/>
              </w:rPr>
            </w:pPr>
            <w:r>
              <w:rPr>
                <w:rFonts w:ascii="Calibri" w:eastAsia="Calibri" w:hAnsi="Calibri" w:cs="Calibri"/>
                <w:i/>
                <w:color w:val="3E5C61" w:themeColor="text1"/>
                <w:sz w:val="20"/>
                <w:szCs w:val="20"/>
              </w:rPr>
              <w:t xml:space="preserve">The winter campaign was intended to force the Cheyenne and other tribes to move to their reservations </w:t>
            </w:r>
          </w:p>
        </w:tc>
        <w:tc>
          <w:tcPr>
            <w:tcW w:w="5083" w:type="dxa"/>
            <w:gridSpan w:val="2"/>
            <w:vMerge w:val="restart"/>
          </w:tcPr>
          <w:p w14:paraId="2B06592B" w14:textId="77777777" w:rsidR="00BA265E" w:rsidRDefault="00BA265E" w:rsidP="00BA265E">
            <w:pPr>
              <w:pStyle w:val="RowHeader"/>
            </w:pPr>
            <w:r>
              <w:t>Summary:</w:t>
            </w:r>
          </w:p>
          <w:p w14:paraId="4FDE5F23" w14:textId="2249DF47" w:rsidR="005A4765" w:rsidRDefault="005A4765" w:rsidP="00E17219">
            <w:pPr>
              <w:spacing w:before="240" w:after="0" w:line="240" w:lineRule="auto"/>
            </w:pPr>
            <w:r w:rsidRPr="005A4765">
              <w:rPr>
                <w:i/>
                <w:iCs/>
                <w:color w:val="3E5C61" w:themeColor="text2"/>
                <w:sz w:val="20"/>
                <w:szCs w:val="20"/>
              </w:rPr>
              <w:t>In an effort to surprise the Cheyenne, Custer and his troops split into four groups, surrounded the camp, and charged in at dawn. Caught off guard, the Cheyenne put up very little resistance, and within minutes, the U.S. Army had control of the camp and secured a victory. Once the fighting was done, Custer ordered that the camp be burned, including lodgings, food, and supplies. Additionally, he ordered the herd of Cheyenne horses to be slaughtered.</w:t>
            </w:r>
          </w:p>
        </w:tc>
      </w:tr>
      <w:tr w:rsidR="00BA265E" w14:paraId="07222173" w14:textId="77777777" w:rsidTr="00E17219">
        <w:trPr>
          <w:trHeight w:val="2133"/>
        </w:trPr>
        <w:tc>
          <w:tcPr>
            <w:tcW w:w="7370" w:type="dxa"/>
          </w:tcPr>
          <w:p w14:paraId="2AB1F929" w14:textId="77777777" w:rsidR="00BA265E" w:rsidRDefault="00BA265E" w:rsidP="00BA265E">
            <w:pPr>
              <w:pStyle w:val="RowHeader"/>
            </w:pPr>
            <w:r>
              <w:t>Effects/Resolution:</w:t>
            </w:r>
          </w:p>
          <w:p w14:paraId="30A0B9E0" w14:textId="77777777" w:rsidR="005A4765" w:rsidRPr="005A4765" w:rsidRDefault="005A4765" w:rsidP="00E17219">
            <w:pPr>
              <w:widowControl w:val="0"/>
              <w:numPr>
                <w:ilvl w:val="0"/>
                <w:numId w:val="13"/>
              </w:numPr>
              <w:spacing w:before="240" w:after="0" w:line="240" w:lineRule="auto"/>
              <w:rPr>
                <w:rFonts w:ascii="Calibri" w:eastAsia="Calibri" w:hAnsi="Calibri" w:cs="Calibri"/>
                <w:i/>
                <w:color w:val="3E5C61" w:themeColor="text1"/>
                <w:sz w:val="20"/>
                <w:szCs w:val="20"/>
              </w:rPr>
            </w:pPr>
            <w:r w:rsidRPr="005A4765">
              <w:rPr>
                <w:rFonts w:ascii="Calibri" w:eastAsia="Calibri" w:hAnsi="Calibri" w:cs="Calibri"/>
                <w:i/>
                <w:color w:val="3E5C61" w:themeColor="text1"/>
                <w:sz w:val="20"/>
                <w:szCs w:val="20"/>
              </w:rPr>
              <w:t>Considered a victory for Custer and the U.S. Army</w:t>
            </w:r>
          </w:p>
          <w:p w14:paraId="2B80579A" w14:textId="77777777" w:rsidR="00E17219" w:rsidRDefault="005A4765" w:rsidP="00E17219">
            <w:pPr>
              <w:widowControl w:val="0"/>
              <w:numPr>
                <w:ilvl w:val="0"/>
                <w:numId w:val="13"/>
              </w:numPr>
              <w:spacing w:after="0" w:line="240" w:lineRule="auto"/>
              <w:rPr>
                <w:rFonts w:ascii="Calibri" w:eastAsia="Calibri" w:hAnsi="Calibri" w:cs="Calibri"/>
                <w:i/>
                <w:color w:val="3E5C61" w:themeColor="text1"/>
                <w:sz w:val="20"/>
                <w:szCs w:val="20"/>
              </w:rPr>
            </w:pPr>
            <w:r w:rsidRPr="00E17219">
              <w:rPr>
                <w:rFonts w:ascii="Calibri" w:eastAsia="Calibri" w:hAnsi="Calibri" w:cs="Calibri"/>
                <w:i/>
                <w:color w:val="3E5C61" w:themeColor="text1"/>
                <w:sz w:val="20"/>
                <w:szCs w:val="20"/>
              </w:rPr>
              <w:t>Cheyenne men, women, and children were killed, including peace chief Black Kettle</w:t>
            </w:r>
          </w:p>
          <w:p w14:paraId="584A2A7A" w14:textId="77777777" w:rsidR="00E17219" w:rsidRDefault="005A4765" w:rsidP="00E17219">
            <w:pPr>
              <w:widowControl w:val="0"/>
              <w:numPr>
                <w:ilvl w:val="0"/>
                <w:numId w:val="13"/>
              </w:numPr>
              <w:spacing w:after="0" w:line="240" w:lineRule="auto"/>
              <w:rPr>
                <w:rFonts w:ascii="Calibri" w:eastAsia="Calibri" w:hAnsi="Calibri" w:cs="Calibri"/>
                <w:i/>
                <w:color w:val="3E5C61" w:themeColor="text1"/>
                <w:sz w:val="20"/>
                <w:szCs w:val="20"/>
              </w:rPr>
            </w:pPr>
            <w:r w:rsidRPr="00E17219">
              <w:rPr>
                <w:rFonts w:ascii="Calibri" w:eastAsia="Calibri" w:hAnsi="Calibri" w:cs="Calibri"/>
                <w:i/>
                <w:color w:val="3E5C61" w:themeColor="text1"/>
                <w:sz w:val="20"/>
                <w:szCs w:val="20"/>
              </w:rPr>
              <w:t>The Cheyenne lost their homes, food supply, horses, and other supplies</w:t>
            </w:r>
          </w:p>
          <w:p w14:paraId="44B9CD3A" w14:textId="12476714" w:rsidR="005A4765" w:rsidRPr="00E17219" w:rsidRDefault="005A4765" w:rsidP="00E17219">
            <w:pPr>
              <w:widowControl w:val="0"/>
              <w:numPr>
                <w:ilvl w:val="0"/>
                <w:numId w:val="13"/>
              </w:numPr>
              <w:spacing w:after="0" w:line="240" w:lineRule="auto"/>
              <w:rPr>
                <w:rFonts w:ascii="Calibri" w:eastAsia="Calibri" w:hAnsi="Calibri" w:cs="Calibri"/>
                <w:i/>
                <w:color w:val="3E5C61" w:themeColor="text1"/>
                <w:sz w:val="20"/>
                <w:szCs w:val="20"/>
              </w:rPr>
            </w:pPr>
            <w:r w:rsidRPr="00E17219">
              <w:rPr>
                <w:rFonts w:ascii="Calibri" w:eastAsia="Calibri" w:hAnsi="Calibri" w:cs="Calibri"/>
                <w:i/>
                <w:color w:val="3E5C61" w:themeColor="text1"/>
                <w:sz w:val="20"/>
                <w:szCs w:val="20"/>
              </w:rPr>
              <w:t>This loss helped to “persuade” the Cheyenne to move to their reservation</w:t>
            </w:r>
          </w:p>
        </w:tc>
        <w:tc>
          <w:tcPr>
            <w:tcW w:w="5083" w:type="dxa"/>
            <w:gridSpan w:val="2"/>
            <w:vMerge/>
          </w:tcPr>
          <w:p w14:paraId="3B9CBD97" w14:textId="77777777" w:rsidR="00BA265E" w:rsidRDefault="00BA265E" w:rsidP="007D4DF2">
            <w:pPr>
              <w:pStyle w:val="TableBody"/>
            </w:pPr>
          </w:p>
        </w:tc>
      </w:tr>
      <w:tr w:rsidR="00BA265E" w14:paraId="2ED1F4A0" w14:textId="77777777" w:rsidTr="00BA265E">
        <w:trPr>
          <w:trHeight w:val="1440"/>
        </w:trPr>
        <w:tc>
          <w:tcPr>
            <w:tcW w:w="12453" w:type="dxa"/>
            <w:gridSpan w:val="3"/>
          </w:tcPr>
          <w:p w14:paraId="1E735D8D" w14:textId="77777777" w:rsidR="00BA265E" w:rsidRDefault="00BA265E" w:rsidP="00BA265E">
            <w:pPr>
              <w:pStyle w:val="RowHeader"/>
            </w:pPr>
            <w:r>
              <w:t>Significance:</w:t>
            </w:r>
          </w:p>
          <w:p w14:paraId="54A09070" w14:textId="1ECE96E7" w:rsidR="005A4765" w:rsidRDefault="005A4765" w:rsidP="00E17219">
            <w:pPr>
              <w:spacing w:before="240" w:after="0" w:line="240" w:lineRule="auto"/>
            </w:pPr>
            <w:r w:rsidRPr="005A4765">
              <w:rPr>
                <w:i/>
                <w:iCs/>
                <w:color w:val="3E5C61" w:themeColor="text2"/>
                <w:sz w:val="20"/>
                <w:szCs w:val="20"/>
              </w:rPr>
              <w:t>The conflict at the Washita River is significant because it was part of the larger winter campaign that forced tribes, including the Cheyenne, to move to reservations, thus opening up more land for white settlement. Being forced to move to reservations, tribes like the Cheyenne had their land taken and their cultures and sovereignty attacked and weakened.</w:t>
            </w:r>
          </w:p>
        </w:tc>
      </w:tr>
    </w:tbl>
    <w:p w14:paraId="6605A578" w14:textId="77777777" w:rsidR="00895E9E" w:rsidRPr="00895E9E" w:rsidRDefault="00895E9E" w:rsidP="00895E9E">
      <w:pPr>
        <w:pStyle w:val="BodyText"/>
      </w:pPr>
    </w:p>
    <w:sectPr w:rsidR="00895E9E" w:rsidRPr="00895E9E" w:rsidSect="008E4D00">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DB373" w14:textId="77777777" w:rsidR="001E07E4" w:rsidRDefault="001E07E4" w:rsidP="00293785">
      <w:pPr>
        <w:spacing w:after="0" w:line="240" w:lineRule="auto"/>
      </w:pPr>
      <w:r>
        <w:separator/>
      </w:r>
    </w:p>
  </w:endnote>
  <w:endnote w:type="continuationSeparator" w:id="0">
    <w:p w14:paraId="1F002C91" w14:textId="77777777" w:rsidR="001E07E4" w:rsidRDefault="001E07E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63BBD" w14:textId="77777777" w:rsidR="005E0E8F" w:rsidRDefault="005E0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EEFDA" w14:textId="77777777" w:rsidR="00293785" w:rsidRDefault="008E4D00">
    <w:pPr>
      <w:pStyle w:val="Footer"/>
    </w:pPr>
    <w:r w:rsidRPr="00293785">
      <w:rPr>
        <w:noProof/>
      </w:rPr>
      <mc:AlternateContent>
        <mc:Choice Requires="wps">
          <w:drawing>
            <wp:anchor distT="0" distB="0" distL="114300" distR="114300" simplePos="0" relativeHeight="251667456" behindDoc="0" locked="0" layoutInCell="1" allowOverlap="1" wp14:anchorId="313EDA64" wp14:editId="534CE9E5">
              <wp:simplePos x="0" y="0"/>
              <wp:positionH relativeFrom="column">
                <wp:posOffset>3705225</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126A86" w14:textId="02E45B60" w:rsidR="00293785" w:rsidRDefault="001E07E4" w:rsidP="00D106FF">
                          <w:pPr>
                            <w:pStyle w:val="LessonFooter"/>
                          </w:pPr>
                          <w:sdt>
                            <w:sdtPr>
                              <w:alias w:val="Title"/>
                              <w:tag w:val=""/>
                              <w:id w:val="1902256145"/>
                              <w:placeholder>
                                <w:docPart w:val="FEDABB16DF1047EAAB0A0A3B33F289B8"/>
                              </w:placeholder>
                              <w:dataBinding w:prefixMappings="xmlns:ns0='http://purl.org/dc/elements/1.1/' xmlns:ns1='http://schemas.openxmlformats.org/package/2006/metadata/core-properties' " w:xpath="/ns1:coreProperties[1]/ns0:title[1]" w:storeItemID="{6C3C8BC8-F283-45AE-878A-BAB7291924A1}"/>
                              <w:text/>
                            </w:sdtPr>
                            <w:sdtEndPr/>
                            <w:sdtContent>
                              <w:r w:rsidR="005A4765">
                                <w:t>The Conflict at the Washita River</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EDA64" id="_x0000_t202" coordsize="21600,21600" o:spt="202" path="m,l,21600r21600,l21600,xe">
              <v:stroke joinstyle="miter"/>
              <v:path gradientshapeok="t" o:connecttype="rect"/>
            </v:shapetype>
            <v:shape id="Text Box 6" o:spid="_x0000_s1026" type="#_x0000_t202" style="position:absolute;margin-left:291.75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" filled="f" stroked="f">
              <v:textbox>
                <w:txbxContent>
                  <w:p w14:paraId="30126A86" w14:textId="02E45B60" w:rsidR="00293785" w:rsidRDefault="00F02048" w:rsidP="00D106FF">
                    <w:pPr>
                      <w:pStyle w:val="LessonFooter"/>
                    </w:pPr>
                    <w:sdt>
                      <w:sdtPr>
                        <w:alias w:val="Title"/>
                        <w:tag w:val=""/>
                        <w:id w:val="1902256145"/>
                        <w:placeholder>
                          <w:docPart w:val="FEDABB16DF1047EAAB0A0A3B33F289B8"/>
                        </w:placeholder>
                        <w:dataBinding w:prefixMappings="xmlns:ns0='http://purl.org/dc/elements/1.1/' xmlns:ns1='http://schemas.openxmlformats.org/package/2006/metadata/core-properties' " w:xpath="/ns1:coreProperties[1]/ns0:title[1]" w:storeItemID="{6C3C8BC8-F283-45AE-878A-BAB7291924A1}"/>
                        <w:text/>
                      </w:sdtPr>
                      <w:sdtEndPr/>
                      <w:sdtContent>
                        <w:r w:rsidR="005A4765">
                          <w:t>The Conflict at the Washita River</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48B5DF8A" wp14:editId="044D99D0">
          <wp:simplePos x="0" y="0"/>
          <wp:positionH relativeFrom="column">
            <wp:posOffset>3590925</wp:posOffset>
          </wp:positionH>
          <wp:positionV relativeFrom="paragraph">
            <wp:posOffset>-212725</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6FDCE" w14:textId="77777777" w:rsidR="005E0E8F" w:rsidRDefault="005E0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78E03" w14:textId="77777777" w:rsidR="001E07E4" w:rsidRDefault="001E07E4" w:rsidP="00293785">
      <w:pPr>
        <w:spacing w:after="0" w:line="240" w:lineRule="auto"/>
      </w:pPr>
      <w:r>
        <w:separator/>
      </w:r>
    </w:p>
  </w:footnote>
  <w:footnote w:type="continuationSeparator" w:id="0">
    <w:p w14:paraId="63DF4772" w14:textId="77777777" w:rsidR="001E07E4" w:rsidRDefault="001E07E4"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6FCBA" w14:textId="77777777" w:rsidR="005E0E8F" w:rsidRDefault="005E0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1097F" w14:textId="77777777" w:rsidR="005E0E8F" w:rsidRDefault="005E0E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8D3D4" w14:textId="77777777" w:rsidR="005E0E8F" w:rsidRDefault="005E0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708D3"/>
    <w:multiLevelType w:val="multilevel"/>
    <w:tmpl w:val="8E34ECA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0803BDD"/>
    <w:multiLevelType w:val="multilevel"/>
    <w:tmpl w:val="BA0A8638"/>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92368"/>
    <w:multiLevelType w:val="multilevel"/>
    <w:tmpl w:val="E5520876"/>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47E61901"/>
    <w:multiLevelType w:val="multilevel"/>
    <w:tmpl w:val="DECE07F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E4CAC"/>
    <w:multiLevelType w:val="multilevel"/>
    <w:tmpl w:val="4686CE7A"/>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2"/>
  </w:num>
  <w:num w:numId="4">
    <w:abstractNumId w:val="4"/>
  </w:num>
  <w:num w:numId="5">
    <w:abstractNumId w:val="7"/>
  </w:num>
  <w:num w:numId="6">
    <w:abstractNumId w:val="9"/>
  </w:num>
  <w:num w:numId="7">
    <w:abstractNumId w:val="8"/>
  </w:num>
  <w:num w:numId="8">
    <w:abstractNumId w:val="13"/>
  </w:num>
  <w:num w:numId="9">
    <w:abstractNumId w:val="14"/>
  </w:num>
  <w:num w:numId="10">
    <w:abstractNumId w:val="15"/>
  </w:num>
  <w:num w:numId="11">
    <w:abstractNumId w:val="3"/>
  </w:num>
  <w:num w:numId="12">
    <w:abstractNumId w:val="6"/>
  </w:num>
  <w:num w:numId="13">
    <w:abstractNumId w:val="1"/>
  </w:num>
  <w:num w:numId="14">
    <w:abstractNumId w:val="0"/>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5E"/>
    <w:rsid w:val="0004006F"/>
    <w:rsid w:val="00053775"/>
    <w:rsid w:val="0005619A"/>
    <w:rsid w:val="000716BE"/>
    <w:rsid w:val="0011259B"/>
    <w:rsid w:val="00116FDD"/>
    <w:rsid w:val="00125621"/>
    <w:rsid w:val="001872E7"/>
    <w:rsid w:val="001C12AA"/>
    <w:rsid w:val="001D0BBF"/>
    <w:rsid w:val="001E07E4"/>
    <w:rsid w:val="001E1F85"/>
    <w:rsid w:val="001E236D"/>
    <w:rsid w:val="001F125D"/>
    <w:rsid w:val="002345CC"/>
    <w:rsid w:val="00293785"/>
    <w:rsid w:val="002C0879"/>
    <w:rsid w:val="002C37B4"/>
    <w:rsid w:val="0036040A"/>
    <w:rsid w:val="00446C13"/>
    <w:rsid w:val="005078B4"/>
    <w:rsid w:val="0053328A"/>
    <w:rsid w:val="00540FC6"/>
    <w:rsid w:val="005A4765"/>
    <w:rsid w:val="005E0E8F"/>
    <w:rsid w:val="00645D7F"/>
    <w:rsid w:val="00656940"/>
    <w:rsid w:val="00666C03"/>
    <w:rsid w:val="00686DAB"/>
    <w:rsid w:val="00696D80"/>
    <w:rsid w:val="006E1542"/>
    <w:rsid w:val="00721EA4"/>
    <w:rsid w:val="007B055F"/>
    <w:rsid w:val="007D4DF2"/>
    <w:rsid w:val="00880013"/>
    <w:rsid w:val="00895E9E"/>
    <w:rsid w:val="008E4D00"/>
    <w:rsid w:val="008F5386"/>
    <w:rsid w:val="00913172"/>
    <w:rsid w:val="00981E19"/>
    <w:rsid w:val="009B52E4"/>
    <w:rsid w:val="009D6E8D"/>
    <w:rsid w:val="00A101E8"/>
    <w:rsid w:val="00A471FD"/>
    <w:rsid w:val="00AC349E"/>
    <w:rsid w:val="00AC75FD"/>
    <w:rsid w:val="00B92DBF"/>
    <w:rsid w:val="00BA265E"/>
    <w:rsid w:val="00BD119F"/>
    <w:rsid w:val="00C73EA1"/>
    <w:rsid w:val="00CB27A0"/>
    <w:rsid w:val="00CC4F77"/>
    <w:rsid w:val="00CD3CF6"/>
    <w:rsid w:val="00CE317F"/>
    <w:rsid w:val="00CE336D"/>
    <w:rsid w:val="00D106FF"/>
    <w:rsid w:val="00D626EB"/>
    <w:rsid w:val="00E17219"/>
    <w:rsid w:val="00ED24C8"/>
    <w:rsid w:val="00EE3A34"/>
    <w:rsid w:val="00F0204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A38FF"/>
  <w15:docId w15:val="{85E691B2-1788-4449-9DB5-218A0535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907494451">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2008940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Horizontal%20LEARN%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EDABB16DF1047EAAB0A0A3B33F289B8"/>
        <w:category>
          <w:name w:val="General"/>
          <w:gallery w:val="placeholder"/>
        </w:category>
        <w:types>
          <w:type w:val="bbPlcHdr"/>
        </w:types>
        <w:behaviors>
          <w:behavior w:val="content"/>
        </w:behaviors>
        <w:guid w:val="{69AF808A-35D7-4E29-BA70-FDB0D471D6BD}"/>
      </w:docPartPr>
      <w:docPartBody>
        <w:p w:rsidR="00E3309F" w:rsidRDefault="00611C35">
          <w:pPr>
            <w:pStyle w:val="FEDABB16DF1047EAAB0A0A3B33F289B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35"/>
    <w:rsid w:val="00611C35"/>
    <w:rsid w:val="00E3309F"/>
    <w:rsid w:val="00E62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DABB16DF1047EAAB0A0A3B33F289B8">
    <w:name w:val="FEDABB16DF1047EAAB0A0A3B33F28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96AE05-CAD1-E546-9529-5D5B0A039EBE}">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251F8-FE80-4A41-AAFF-71C8C7A9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C:\Users\ek998\Documents\Custom Office Templates\Horizontal LEARN Attachment with Instructions.dotm</Template>
  <TotalTime>8</TotalTime>
  <Pages>1</Pages>
  <Words>317</Words>
  <Characters>1532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Horizontal LEARN Attachment with Instructions</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Conflict at the Washita River</dc:title>
  <dc:creator>K20 Center</dc:creator>
  <cp:lastModifiedBy>Walters, Darrin J.</cp:lastModifiedBy>
  <cp:revision>3</cp:revision>
  <cp:lastPrinted>2016-07-14T14:08:00Z</cp:lastPrinted>
  <dcterms:created xsi:type="dcterms:W3CDTF">2020-07-30T13:44:00Z</dcterms:created>
  <dcterms:modified xsi:type="dcterms:W3CDTF">2020-08-04T16:00:00Z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documentId_4901</vt:lpwstr>
  </property>
</Properties>
</file>