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3EDFC8" w14:textId="29FFA921" w:rsidR="00C73EA1" w:rsidRDefault="00DE2C7D" w:rsidP="00DE2C7D">
      <w:pPr>
        <w:pStyle w:val="Title"/>
        <w:rPr>
          <w:noProof/>
        </w:rPr>
      </w:pPr>
      <w:r>
        <w:rPr>
          <w:noProof/>
        </w:rPr>
        <w:t>Literature Circles</w:t>
      </w:r>
      <w:r w:rsidR="00E43DDB">
        <w:rPr>
          <w:noProof/>
        </w:rPr>
        <w:t>: benefits and Roles</w:t>
      </w:r>
    </w:p>
    <w:p w14:paraId="50081B40" w14:textId="03CE91C8" w:rsidR="00E43DDB" w:rsidRDefault="00E43DDB" w:rsidP="00E43DDB"/>
    <w:p w14:paraId="7CBBDA7E" w14:textId="77777777" w:rsidR="00E43DDB" w:rsidRDefault="00E43DDB" w:rsidP="00E43DDB">
      <w:r>
        <w:t>In student-centered instruction, learners are conceived as “active participants in their own discovery process.” Dispensing with the view that students should sit back and act as repositories for transferred knowledge, student-centered lessons and activities empower the learner with choices, opportunities for substantive conversation, and real-world connections. Literature circles are an effective way to achieve many of the goals of student-centered learning while also improving social and interpersonal skills amongst learners.</w:t>
      </w:r>
    </w:p>
    <w:p w14:paraId="4DBA1CBE" w14:textId="77777777" w:rsidR="00E43DDB" w:rsidRDefault="00E43DDB" w:rsidP="00E43DDB"/>
    <w:p w14:paraId="77ED805C" w14:textId="77777777" w:rsidR="00E43DDB" w:rsidRDefault="00E43DDB" w:rsidP="00E43DDB">
      <w:r>
        <w:t>With this technique, students choose their own reading material from a list of choices and are grouped with students who made the same choice. Students meet with their groups regularly and engage in discussions about topics they generate themselves. To aid in this process and apply helpful constraints, each student is given a specific role which orients them around a specific set of tasks they’ll accomplish for their group.</w:t>
      </w:r>
    </w:p>
    <w:p w14:paraId="6D62335E" w14:textId="77777777" w:rsidR="00E43DDB" w:rsidRDefault="00E43DDB" w:rsidP="00E43DDB"/>
    <w:p w14:paraId="6B59975B" w14:textId="1EF34476" w:rsidR="00E43DDB" w:rsidRDefault="00E43DDB" w:rsidP="00E43DDB">
      <w:r>
        <w:t>Traditionally, the roles in literature circles have centered around generating different aspects of discussion about the chosen text; however, many educators have revamped the roles to better suit the technology-centric atmosphere of learning environments today. See the chart on the following page for more information.</w:t>
      </w:r>
      <w:r w:rsidR="004C7324">
        <w:t xml:space="preserve"> The names of the role are not as important as the role </w:t>
      </w:r>
      <w:proofErr w:type="gramStart"/>
      <w:r w:rsidR="004C7324">
        <w:t>actually played</w:t>
      </w:r>
      <w:proofErr w:type="gramEnd"/>
      <w:r w:rsidR="004C7324">
        <w:t xml:space="preserve"> by the student.  </w:t>
      </w:r>
    </w:p>
    <w:p w14:paraId="26BB5BC2" w14:textId="1C8B73C0" w:rsidR="00E43DDB" w:rsidRDefault="00E43DDB" w:rsidP="00E43DDB">
      <w:pPr>
        <w:pStyle w:val="BodyText"/>
      </w:pPr>
    </w:p>
    <w:p w14:paraId="2CE44912" w14:textId="4CD3F37B" w:rsidR="00E43DDB" w:rsidRDefault="00E43DDB" w:rsidP="00E43DDB">
      <w:pPr>
        <w:pStyle w:val="BodyText"/>
      </w:pPr>
    </w:p>
    <w:p w14:paraId="7A309B82" w14:textId="35CAC4A9" w:rsidR="00E43DDB" w:rsidRDefault="00E43DDB" w:rsidP="00E43DDB">
      <w:pPr>
        <w:pStyle w:val="BodyText"/>
      </w:pPr>
    </w:p>
    <w:p w14:paraId="3EE759BE" w14:textId="4C6A9967" w:rsidR="00E43DDB" w:rsidRDefault="00E43DDB" w:rsidP="00E43DDB">
      <w:pPr>
        <w:pStyle w:val="BodyText"/>
      </w:pPr>
    </w:p>
    <w:p w14:paraId="308BD3EB" w14:textId="7F4DAD7E" w:rsidR="00E43DDB" w:rsidRDefault="00E43DDB" w:rsidP="00E43DDB">
      <w:pPr>
        <w:pStyle w:val="BodyText"/>
      </w:pPr>
    </w:p>
    <w:p w14:paraId="6205B3C8" w14:textId="0FCEE6FC" w:rsidR="00E43DDB" w:rsidRDefault="00E43DDB" w:rsidP="00E43DDB">
      <w:pPr>
        <w:pStyle w:val="BodyText"/>
      </w:pPr>
    </w:p>
    <w:p w14:paraId="0F801788" w14:textId="77777777" w:rsidR="00E43DDB" w:rsidRPr="00E43DDB" w:rsidRDefault="00E43DDB" w:rsidP="00E43DDB">
      <w:pPr>
        <w:pStyle w:val="BodyText"/>
      </w:pPr>
    </w:p>
    <w:p w14:paraId="71265E16" w14:textId="77777777" w:rsidR="00DE2C7D" w:rsidRDefault="00DE2C7D" w:rsidP="00DE2C7D">
      <w:pPr>
        <w:pStyle w:val="CaptionCutline"/>
        <w:rPr>
          <w:noProof/>
        </w:rPr>
      </w:pPr>
    </w:p>
    <w:tbl>
      <w:tblPr>
        <w:tblStyle w:val="TableGrid"/>
        <w:tblW w:w="9664"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4832"/>
        <w:gridCol w:w="4832"/>
      </w:tblGrid>
      <w:tr w:rsidR="00684688" w14:paraId="049320B5" w14:textId="77777777" w:rsidTr="00684688">
        <w:trPr>
          <w:cantSplit/>
          <w:trHeight w:val="450"/>
          <w:tblHeader/>
        </w:trPr>
        <w:tc>
          <w:tcPr>
            <w:tcW w:w="4832" w:type="dxa"/>
            <w:shd w:val="clear" w:color="auto" w:fill="3E5C61" w:themeFill="accent2"/>
          </w:tcPr>
          <w:p w14:paraId="67F139C6" w14:textId="35D6E82A" w:rsidR="00684688" w:rsidRPr="0053328A" w:rsidRDefault="00684688" w:rsidP="0053328A">
            <w:pPr>
              <w:pStyle w:val="TableColumnHeaders"/>
            </w:pPr>
            <w:r>
              <w:lastRenderedPageBreak/>
              <w:t>Traditional Roles</w:t>
            </w:r>
          </w:p>
        </w:tc>
        <w:tc>
          <w:tcPr>
            <w:tcW w:w="4832" w:type="dxa"/>
            <w:shd w:val="clear" w:color="auto" w:fill="3E5C61" w:themeFill="accent2"/>
          </w:tcPr>
          <w:p w14:paraId="2C423FB7" w14:textId="0B5BEC14" w:rsidR="00684688" w:rsidRPr="0053328A" w:rsidRDefault="005775F1" w:rsidP="0053328A">
            <w:pPr>
              <w:pStyle w:val="TableColumnHeaders"/>
            </w:pPr>
            <w:r>
              <w:t>Roles in Literature Circles 2.0</w:t>
            </w:r>
          </w:p>
        </w:tc>
      </w:tr>
      <w:tr w:rsidR="00684688" w14:paraId="1B184949" w14:textId="77777777" w:rsidTr="00684688">
        <w:trPr>
          <w:trHeight w:val="1473"/>
        </w:trPr>
        <w:tc>
          <w:tcPr>
            <w:tcW w:w="4832" w:type="dxa"/>
          </w:tcPr>
          <w:p w14:paraId="7549F313" w14:textId="77777777" w:rsidR="001A1B04" w:rsidRDefault="00684688" w:rsidP="001A1B04">
            <w:pPr>
              <w:pStyle w:val="RowHeader"/>
            </w:pPr>
            <w:r>
              <w:t xml:space="preserve">Discussion Director: </w:t>
            </w:r>
          </w:p>
          <w:p w14:paraId="776DF6D4" w14:textId="59E9B176" w:rsidR="00684688" w:rsidRDefault="00684688" w:rsidP="006B4CC2">
            <w:pPr>
              <w:pStyle w:val="TableData"/>
            </w:pPr>
            <w:r>
              <w:t>Oversees the discussion and holds group members accountable</w:t>
            </w:r>
          </w:p>
        </w:tc>
        <w:tc>
          <w:tcPr>
            <w:tcW w:w="4832" w:type="dxa"/>
          </w:tcPr>
          <w:p w14:paraId="3D114865" w14:textId="77777777" w:rsidR="001A1B04" w:rsidRDefault="006E746E" w:rsidP="001A1B04">
            <w:pPr>
              <w:pStyle w:val="RowHeader"/>
            </w:pPr>
            <w:r>
              <w:t xml:space="preserve">Project Manager: </w:t>
            </w:r>
          </w:p>
          <w:p w14:paraId="50A312E2" w14:textId="6AA45301" w:rsidR="00684688" w:rsidRDefault="006E746E" w:rsidP="006B4CC2">
            <w:pPr>
              <w:pStyle w:val="TableData"/>
            </w:pPr>
            <w:r>
              <w:t xml:space="preserve">Helps group members coordinate responsibilities, mediate conflicts, and meet deadlines. </w:t>
            </w:r>
          </w:p>
        </w:tc>
      </w:tr>
      <w:tr w:rsidR="00684688" w14:paraId="59DC8D9D" w14:textId="77777777" w:rsidTr="00684688">
        <w:trPr>
          <w:trHeight w:val="1473"/>
        </w:trPr>
        <w:tc>
          <w:tcPr>
            <w:tcW w:w="4832" w:type="dxa"/>
          </w:tcPr>
          <w:p w14:paraId="46711E47" w14:textId="77777777" w:rsidR="001A1B04" w:rsidRDefault="00684688" w:rsidP="001A1B04">
            <w:pPr>
              <w:pStyle w:val="RowHeader"/>
            </w:pPr>
            <w:r>
              <w:t xml:space="preserve">Connector: </w:t>
            </w:r>
          </w:p>
          <w:p w14:paraId="2352C962" w14:textId="30FF1FBB" w:rsidR="00684688" w:rsidRDefault="00684688" w:rsidP="006B4CC2">
            <w:pPr>
              <w:pStyle w:val="TableData"/>
            </w:pPr>
            <w:r>
              <w:t>Identifies elements in the text that relate to students’ lives, other texts, and world events.</w:t>
            </w:r>
          </w:p>
        </w:tc>
        <w:tc>
          <w:tcPr>
            <w:tcW w:w="4832" w:type="dxa"/>
          </w:tcPr>
          <w:p w14:paraId="09E2F645" w14:textId="77777777" w:rsidR="001A1B04" w:rsidRDefault="006E746E" w:rsidP="001A1B04">
            <w:pPr>
              <w:pStyle w:val="RowHeader"/>
            </w:pPr>
            <w:r>
              <w:t xml:space="preserve">Trend-Spotter: </w:t>
            </w:r>
          </w:p>
          <w:p w14:paraId="3A04812E" w14:textId="5B132E45" w:rsidR="00684688" w:rsidRDefault="006E746E" w:rsidP="006B4CC2">
            <w:pPr>
              <w:pStyle w:val="TableData"/>
            </w:pPr>
            <w:r>
              <w:t>Uses internet and media resources to connect to background knowledge, other texts, and other content areas to explain and make prediction about the book.</w:t>
            </w:r>
          </w:p>
        </w:tc>
      </w:tr>
      <w:tr w:rsidR="00684688" w14:paraId="5F4B6D1F" w14:textId="77777777" w:rsidTr="00684688">
        <w:trPr>
          <w:trHeight w:val="1473"/>
        </w:trPr>
        <w:tc>
          <w:tcPr>
            <w:tcW w:w="4832" w:type="dxa"/>
          </w:tcPr>
          <w:p w14:paraId="228E36E6" w14:textId="77777777" w:rsidR="001A1B04" w:rsidRDefault="00684688" w:rsidP="001A1B04">
            <w:pPr>
              <w:pStyle w:val="RowHeader"/>
            </w:pPr>
            <w:r>
              <w:t xml:space="preserve">Questioner: </w:t>
            </w:r>
          </w:p>
          <w:p w14:paraId="72EBD7EA" w14:textId="7CA35F5C" w:rsidR="00684688" w:rsidRDefault="00684688" w:rsidP="006B4CC2">
            <w:pPr>
              <w:pStyle w:val="TableData"/>
            </w:pPr>
            <w:r>
              <w:t>Raises questions to clarify, analyze, and critique the text.</w:t>
            </w:r>
          </w:p>
        </w:tc>
        <w:tc>
          <w:tcPr>
            <w:tcW w:w="4832" w:type="dxa"/>
          </w:tcPr>
          <w:p w14:paraId="3AEFEC9E" w14:textId="77777777" w:rsidR="001A1B04" w:rsidRDefault="001A1B04" w:rsidP="001A1B04">
            <w:pPr>
              <w:pStyle w:val="RowHeader"/>
            </w:pPr>
            <w:r>
              <w:t>Bias Detective:</w:t>
            </w:r>
          </w:p>
          <w:p w14:paraId="5CC727B7" w14:textId="215537B3" w:rsidR="00684688" w:rsidRDefault="00931482" w:rsidP="006B4CC2">
            <w:pPr>
              <w:pStyle w:val="TableData"/>
            </w:pPr>
            <w:r>
              <w:t>Critically questions the text to raise issues of influence of the author’s or character’s perspectives and biases.</w:t>
            </w:r>
          </w:p>
        </w:tc>
      </w:tr>
      <w:tr w:rsidR="00684688" w14:paraId="30C194E1" w14:textId="77777777" w:rsidTr="00684688">
        <w:trPr>
          <w:trHeight w:val="1371"/>
        </w:trPr>
        <w:tc>
          <w:tcPr>
            <w:tcW w:w="4832" w:type="dxa"/>
          </w:tcPr>
          <w:p w14:paraId="65BFC213" w14:textId="77777777" w:rsidR="001A1B04" w:rsidRDefault="00684688" w:rsidP="001A1B04">
            <w:pPr>
              <w:pStyle w:val="RowHeader"/>
            </w:pPr>
            <w:r>
              <w:t>Illustrator:</w:t>
            </w:r>
          </w:p>
          <w:p w14:paraId="2C3CD724" w14:textId="088549D1" w:rsidR="00684688" w:rsidRDefault="00684688" w:rsidP="006B4CC2">
            <w:pPr>
              <w:pStyle w:val="TableData"/>
            </w:pPr>
            <w:r>
              <w:t>Develops graphics or nonverbal interpretations in response to the text</w:t>
            </w:r>
          </w:p>
        </w:tc>
        <w:tc>
          <w:tcPr>
            <w:tcW w:w="4832" w:type="dxa"/>
          </w:tcPr>
          <w:p w14:paraId="7991AD9A" w14:textId="77777777" w:rsidR="001A1B04" w:rsidRDefault="001A1B04" w:rsidP="001A1B04">
            <w:pPr>
              <w:pStyle w:val="RowHeader"/>
            </w:pPr>
            <w:r>
              <w:t>Graphic Designer:</w:t>
            </w:r>
          </w:p>
          <w:p w14:paraId="35163A26" w14:textId="64BDF490" w:rsidR="00684688" w:rsidRDefault="00931482" w:rsidP="006B4CC2">
            <w:pPr>
              <w:pStyle w:val="TableData"/>
            </w:pPr>
            <w:r>
              <w:t>Uses technology to develop graphics or nonlinguistic interpretations in response to the text.</w:t>
            </w:r>
          </w:p>
        </w:tc>
      </w:tr>
      <w:tr w:rsidR="00684688" w14:paraId="6906EDFF" w14:textId="77777777" w:rsidTr="00684688">
        <w:trPr>
          <w:trHeight w:val="1371"/>
        </w:trPr>
        <w:tc>
          <w:tcPr>
            <w:tcW w:w="4832" w:type="dxa"/>
          </w:tcPr>
          <w:p w14:paraId="12E771A2" w14:textId="77777777" w:rsidR="001A1B04" w:rsidRDefault="00684688" w:rsidP="001A1B04">
            <w:pPr>
              <w:pStyle w:val="RowHeader"/>
            </w:pPr>
            <w:r>
              <w:t>Summarizer:</w:t>
            </w:r>
          </w:p>
          <w:p w14:paraId="02E12E22" w14:textId="53FF1A0F" w:rsidR="00684688" w:rsidRDefault="00684688" w:rsidP="006B4CC2">
            <w:pPr>
              <w:pStyle w:val="TableData"/>
            </w:pPr>
            <w:r>
              <w:t>Prepares a summary of the assigned reading</w:t>
            </w:r>
          </w:p>
        </w:tc>
        <w:tc>
          <w:tcPr>
            <w:tcW w:w="4832" w:type="dxa"/>
          </w:tcPr>
          <w:p w14:paraId="79A380A0" w14:textId="77777777" w:rsidR="001A1B04" w:rsidRDefault="001A1B04" w:rsidP="001A1B04">
            <w:pPr>
              <w:pStyle w:val="RowHeader"/>
            </w:pPr>
            <w:r>
              <w:t>Tweeter:</w:t>
            </w:r>
          </w:p>
          <w:p w14:paraId="13B38521" w14:textId="108A6533" w:rsidR="00684688" w:rsidRDefault="00931482" w:rsidP="006B4CC2">
            <w:pPr>
              <w:pStyle w:val="TableData"/>
            </w:pPr>
            <w:r>
              <w:t xml:space="preserve">Prepares a 140-character overview of the assigned reading, perhaps utilizing hashtags or links to make wider connections. </w:t>
            </w:r>
          </w:p>
        </w:tc>
      </w:tr>
      <w:tr w:rsidR="00684688" w14:paraId="4A43BCC1" w14:textId="77777777" w:rsidTr="00684688">
        <w:trPr>
          <w:trHeight w:val="1371"/>
        </w:trPr>
        <w:tc>
          <w:tcPr>
            <w:tcW w:w="4832" w:type="dxa"/>
          </w:tcPr>
          <w:p w14:paraId="5DE9BA7E" w14:textId="77777777" w:rsidR="001A1B04" w:rsidRDefault="00684688" w:rsidP="001A1B04">
            <w:pPr>
              <w:pStyle w:val="RowHeader"/>
            </w:pPr>
            <w:r>
              <w:t xml:space="preserve">Researcher: </w:t>
            </w:r>
          </w:p>
          <w:p w14:paraId="028B5F78" w14:textId="7C9792DA" w:rsidR="00684688" w:rsidRDefault="00684688" w:rsidP="006B4CC2">
            <w:pPr>
              <w:pStyle w:val="TableData"/>
            </w:pPr>
            <w:r>
              <w:t>Finds and shares background information about a topic related to the book</w:t>
            </w:r>
          </w:p>
        </w:tc>
        <w:tc>
          <w:tcPr>
            <w:tcW w:w="4832" w:type="dxa"/>
          </w:tcPr>
          <w:p w14:paraId="7DFCD787" w14:textId="77777777" w:rsidR="001A1B04" w:rsidRDefault="001A1B04" w:rsidP="001A1B04">
            <w:pPr>
              <w:pStyle w:val="RowHeader"/>
            </w:pPr>
            <w:r>
              <w:t>Investigative Journalist:</w:t>
            </w:r>
          </w:p>
          <w:p w14:paraId="37DA3C30" w14:textId="75961B6F" w:rsidR="00684688" w:rsidRDefault="001A1B04" w:rsidP="006B4CC2">
            <w:pPr>
              <w:pStyle w:val="TableData"/>
            </w:pPr>
            <w:r>
              <w:t>Checks facts in the book and finds information that will help the group understand more completely.</w:t>
            </w:r>
          </w:p>
        </w:tc>
      </w:tr>
    </w:tbl>
    <w:p w14:paraId="12E620F9" w14:textId="7F770449" w:rsidR="003018C6" w:rsidRPr="003018C6" w:rsidRDefault="003018C6" w:rsidP="003018C6">
      <w:pPr>
        <w:pStyle w:val="Bibliography"/>
        <w:ind w:left="720" w:hanging="720"/>
        <w:rPr>
          <w:noProof/>
          <w:sz w:val="20"/>
          <w:szCs w:val="20"/>
        </w:rPr>
      </w:pPr>
      <w:r w:rsidRPr="003018C6">
        <w:rPr>
          <w:sz w:val="20"/>
          <w:szCs w:val="20"/>
        </w:rPr>
        <w:t xml:space="preserve">Adapted </w:t>
      </w:r>
      <w:r>
        <w:rPr>
          <w:sz w:val="20"/>
          <w:szCs w:val="20"/>
        </w:rPr>
        <w:t>f</w:t>
      </w:r>
      <w:r w:rsidRPr="003018C6">
        <w:rPr>
          <w:sz w:val="20"/>
          <w:szCs w:val="20"/>
        </w:rPr>
        <w:t>rom H</w:t>
      </w:r>
      <w:r w:rsidRPr="003018C6">
        <w:rPr>
          <w:noProof/>
          <w:sz w:val="20"/>
          <w:szCs w:val="20"/>
        </w:rPr>
        <w:t xml:space="preserve">errera, L. J., &amp; Kidwell, T. (2018). Literature Circles 2.0: Updating a Classic Strategy for the 21st Century. </w:t>
      </w:r>
      <w:r w:rsidRPr="003018C6">
        <w:rPr>
          <w:i/>
          <w:iCs/>
          <w:noProof/>
          <w:sz w:val="20"/>
          <w:szCs w:val="20"/>
        </w:rPr>
        <w:t>21st Century Learning &amp; Multicultural Education</w:t>
      </w:r>
      <w:r w:rsidRPr="003018C6">
        <w:rPr>
          <w:noProof/>
          <w:sz w:val="20"/>
          <w:szCs w:val="20"/>
        </w:rPr>
        <w:t>, 17-21.</w:t>
      </w:r>
    </w:p>
    <w:p w14:paraId="4BB5F6F7" w14:textId="17329A8C" w:rsidR="0036040A" w:rsidRDefault="0036040A" w:rsidP="003018C6">
      <w:pPr>
        <w:pStyle w:val="Heading1"/>
      </w:pPr>
    </w:p>
    <w:p w14:paraId="0B5FAA3B" w14:textId="701243D7" w:rsidR="00E43DDB" w:rsidRDefault="00E43DDB" w:rsidP="00E43DDB"/>
    <w:p w14:paraId="76759095" w14:textId="545A1173" w:rsidR="00790A46" w:rsidRDefault="00790A46" w:rsidP="00E43DDB">
      <w:pPr>
        <w:pStyle w:val="BodyText"/>
      </w:pPr>
    </w:p>
    <w:sdt>
      <w:sdtPr>
        <w:rPr>
          <w:rFonts w:asciiTheme="minorHAnsi" w:eastAsiaTheme="minorHAnsi" w:hAnsiTheme="minorHAnsi" w:cstheme="minorBidi"/>
          <w:b w:val="0"/>
          <w:color w:val="auto"/>
          <w:szCs w:val="22"/>
          <w:shd w:val="clear" w:color="auto" w:fill="auto"/>
        </w:rPr>
        <w:id w:val="-1952381920"/>
        <w:docPartObj>
          <w:docPartGallery w:val="Bibliographies"/>
          <w:docPartUnique/>
        </w:docPartObj>
      </w:sdtPr>
      <w:sdtEndPr/>
      <w:sdtContent>
        <w:p w14:paraId="56CF54F7" w14:textId="5B7338BA" w:rsidR="00F947A5" w:rsidRDefault="00F947A5">
          <w:pPr>
            <w:pStyle w:val="Heading1"/>
          </w:pPr>
          <w:r>
            <w:t>References</w:t>
          </w:r>
        </w:p>
        <w:sdt>
          <w:sdtPr>
            <w:id w:val="111145805"/>
            <w:bibliography/>
          </w:sdtPr>
          <w:sdtEndPr/>
          <w:sdtContent>
            <w:p w14:paraId="1B195AF0" w14:textId="77777777" w:rsidR="00F947A5" w:rsidRDefault="00F947A5" w:rsidP="00F947A5">
              <w:pPr>
                <w:pStyle w:val="Bibliography"/>
                <w:ind w:left="720" w:hanging="720"/>
                <w:rPr>
                  <w:noProof/>
                  <w:szCs w:val="24"/>
                </w:rPr>
              </w:pPr>
              <w:r>
                <w:fldChar w:fldCharType="begin"/>
              </w:r>
              <w:r>
                <w:instrText xml:space="preserve"> BIBLIOGRAPHY </w:instrText>
              </w:r>
              <w:r>
                <w:fldChar w:fldCharType="separate"/>
              </w:r>
              <w:r>
                <w:rPr>
                  <w:noProof/>
                </w:rPr>
                <w:t xml:space="preserve">Bromley, K., Faughnana, M., Ham, S., Miller, M., Armstrong, T., Crandall, C., . . . Marrone, N. (2014). Literature Circles Go Digital. </w:t>
              </w:r>
              <w:r>
                <w:rPr>
                  <w:i/>
                  <w:iCs/>
                  <w:noProof/>
                </w:rPr>
                <w:t>The Reading Teacher, 68</w:t>
              </w:r>
              <w:r>
                <w:rPr>
                  <w:noProof/>
                </w:rPr>
                <w:t>(3), 229-236.</w:t>
              </w:r>
            </w:p>
            <w:p w14:paraId="36C26D00" w14:textId="77777777" w:rsidR="00F947A5" w:rsidRDefault="00F947A5" w:rsidP="00F947A5">
              <w:pPr>
                <w:pStyle w:val="Bibliography"/>
                <w:ind w:left="720" w:hanging="720"/>
                <w:rPr>
                  <w:noProof/>
                </w:rPr>
              </w:pPr>
              <w:r>
                <w:rPr>
                  <w:noProof/>
                </w:rPr>
                <w:t xml:space="preserve">Herrera, L. J., &amp; Kidwell, T. (2018). Literature Circles 2.0: Updateing a Classic Strategy for the 21st Century. </w:t>
              </w:r>
              <w:r>
                <w:rPr>
                  <w:i/>
                  <w:iCs/>
                  <w:noProof/>
                </w:rPr>
                <w:t>21st Century Learning and Multicultural Learning</w:t>
              </w:r>
              <w:r>
                <w:rPr>
                  <w:noProof/>
                </w:rPr>
                <w:t>, 17-21.</w:t>
              </w:r>
            </w:p>
            <w:p w14:paraId="5BDC68DF" w14:textId="77777777" w:rsidR="00F947A5" w:rsidRDefault="00F947A5" w:rsidP="00F947A5">
              <w:pPr>
                <w:pStyle w:val="Bibliography"/>
                <w:ind w:left="720" w:hanging="720"/>
                <w:rPr>
                  <w:noProof/>
                </w:rPr>
              </w:pPr>
              <w:r>
                <w:rPr>
                  <w:noProof/>
                </w:rPr>
                <w:t xml:space="preserve">Herrera, L. J., &amp; Kidwell, T. (2018). Literature Circles 2.0: Updating a Classic Strategy for the 21st Century. </w:t>
              </w:r>
              <w:r>
                <w:rPr>
                  <w:i/>
                  <w:iCs/>
                  <w:noProof/>
                </w:rPr>
                <w:t>21st Century Learning &amp; Multicultural Education</w:t>
              </w:r>
              <w:r>
                <w:rPr>
                  <w:noProof/>
                </w:rPr>
                <w:t>, 17-21.</w:t>
              </w:r>
            </w:p>
            <w:p w14:paraId="31B024FB" w14:textId="77777777" w:rsidR="00F947A5" w:rsidRDefault="00F947A5" w:rsidP="00F947A5">
              <w:pPr>
                <w:pStyle w:val="Bibliography"/>
                <w:ind w:left="720" w:hanging="720"/>
                <w:rPr>
                  <w:noProof/>
                </w:rPr>
              </w:pPr>
              <w:r>
                <w:rPr>
                  <w:i/>
                  <w:iCs/>
                  <w:noProof/>
                </w:rPr>
                <w:t>Student-Centered Learning</w:t>
              </w:r>
              <w:r>
                <w:rPr>
                  <w:noProof/>
                </w:rPr>
                <w:t>. (n.d.). Retrieved from ISTE: https://www.iste.org/standards/essential-conditions/student-centered-learning</w:t>
              </w:r>
            </w:p>
            <w:p w14:paraId="4D876F39" w14:textId="77777777" w:rsidR="00F947A5" w:rsidRDefault="00F947A5" w:rsidP="00F947A5">
              <w:pPr>
                <w:pStyle w:val="Bibliography"/>
                <w:ind w:left="720" w:hanging="720"/>
                <w:rPr>
                  <w:noProof/>
                </w:rPr>
              </w:pPr>
              <w:r>
                <w:rPr>
                  <w:noProof/>
                </w:rPr>
                <w:t xml:space="preserve">Venegas, E. (n.d.). "We Listened to Each Other": Socieoemotional Growth in Literature Circles. </w:t>
              </w:r>
              <w:r>
                <w:rPr>
                  <w:i/>
                  <w:iCs/>
                  <w:noProof/>
                </w:rPr>
                <w:t>The Reading Teacher, 73</w:t>
              </w:r>
              <w:r>
                <w:rPr>
                  <w:noProof/>
                </w:rPr>
                <w:t>(2), 149-159.</w:t>
              </w:r>
            </w:p>
            <w:p w14:paraId="6AFB7041" w14:textId="54C9677D" w:rsidR="00F947A5" w:rsidRDefault="00F947A5" w:rsidP="00F947A5">
              <w:r>
                <w:rPr>
                  <w:b/>
                  <w:bCs/>
                  <w:noProof/>
                </w:rPr>
                <w:fldChar w:fldCharType="end"/>
              </w:r>
            </w:p>
          </w:sdtContent>
        </w:sdt>
      </w:sdtContent>
    </w:sdt>
    <w:p w14:paraId="1E5C4C96" w14:textId="77777777" w:rsidR="00F947A5" w:rsidRDefault="00F947A5" w:rsidP="00E43DDB">
      <w:pPr>
        <w:pStyle w:val="BodyText"/>
      </w:pPr>
    </w:p>
    <w:p w14:paraId="13F45FC3" w14:textId="0F405280" w:rsidR="00F947A5" w:rsidRPr="00E43DDB" w:rsidRDefault="00F947A5" w:rsidP="00E43DDB">
      <w:pPr>
        <w:pStyle w:val="BodyText"/>
      </w:pPr>
    </w:p>
    <w:sectPr w:rsidR="00F947A5" w:rsidRPr="00E43DD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EA1DF" w14:textId="77777777" w:rsidR="00481F91" w:rsidRDefault="00481F91" w:rsidP="00293785">
      <w:pPr>
        <w:spacing w:after="0" w:line="240" w:lineRule="auto"/>
      </w:pPr>
      <w:r>
        <w:separator/>
      </w:r>
    </w:p>
  </w:endnote>
  <w:endnote w:type="continuationSeparator" w:id="0">
    <w:p w14:paraId="059F5BA0" w14:textId="77777777" w:rsidR="00481F91" w:rsidRDefault="00481F91"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3D51" w14:textId="77777777" w:rsidR="0094260F" w:rsidRDefault="009426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6ED7"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39018F7E" wp14:editId="0BEAB62F">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E94DE7" w14:textId="10E0B2A8" w:rsidR="00293785" w:rsidRDefault="00481F91" w:rsidP="00D106FF">
                          <w:pPr>
                            <w:pStyle w:val="LessonFooter"/>
                          </w:pPr>
                          <w:sdt>
                            <w:sdtPr>
                              <w:alias w:val="Title"/>
                              <w:tag w:val=""/>
                              <w:id w:val="1281607793"/>
                              <w:placeholder>
                                <w:docPart w:val="E15239427414B34C866EB764FAA31A3C"/>
                              </w:placeholder>
                              <w:dataBinding w:prefixMappings="xmlns:ns0='http://purl.org/dc/elements/1.1/' xmlns:ns1='http://schemas.openxmlformats.org/package/2006/metadata/core-properties' " w:xpath="/ns1:coreProperties[1]/ns0:title[1]" w:storeItemID="{6C3C8BC8-F283-45AE-878A-BAB7291924A1}"/>
                              <w:text/>
                            </w:sdtPr>
                            <w:sdtEndPr/>
                            <w:sdtContent>
                              <w:r w:rsidR="00E43DDB">
                                <w:t>Literature Circles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018F7E"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" filled="f" stroked="f">
              <v:textbox>
                <w:txbxContent>
                  <w:p w14:paraId="59E94DE7" w14:textId="10E0B2A8" w:rsidR="00293785" w:rsidRDefault="002B4A13" w:rsidP="00D106FF">
                    <w:pPr>
                      <w:pStyle w:val="LessonFooter"/>
                    </w:pPr>
                    <w:sdt>
                      <w:sdtPr>
                        <w:alias w:val="Title"/>
                        <w:tag w:val=""/>
                        <w:id w:val="1281607793"/>
                        <w:placeholder>
                          <w:docPart w:val="E15239427414B34C866EB764FAA31A3C"/>
                        </w:placeholder>
                        <w:dataBinding w:prefixMappings="xmlns:ns0='http://purl.org/dc/elements/1.1/' xmlns:ns1='http://schemas.openxmlformats.org/package/2006/metadata/core-properties' " w:xpath="/ns1:coreProperties[1]/ns0:title[1]" w:storeItemID="{6C3C8BC8-F283-45AE-878A-BAB7291924A1}"/>
                        <w:text/>
                      </w:sdtPr>
                      <w:sdtEndPr/>
                      <w:sdtContent>
                        <w:r w:rsidR="00E43DDB">
                          <w:t>Literature Circles</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465BE1A5" wp14:editId="4DEC561A">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F605" w14:textId="77777777" w:rsidR="0094260F" w:rsidRDefault="00942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8595F" w14:textId="77777777" w:rsidR="00481F91" w:rsidRDefault="00481F91" w:rsidP="00293785">
      <w:pPr>
        <w:spacing w:after="0" w:line="240" w:lineRule="auto"/>
      </w:pPr>
      <w:r>
        <w:separator/>
      </w:r>
    </w:p>
  </w:footnote>
  <w:footnote w:type="continuationSeparator" w:id="0">
    <w:p w14:paraId="209C6D92" w14:textId="77777777" w:rsidR="00481F91" w:rsidRDefault="00481F91"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DA1D" w14:textId="77777777" w:rsidR="0094260F" w:rsidRDefault="009426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51EC" w14:textId="77777777" w:rsidR="0094260F" w:rsidRDefault="009426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C8FD" w14:textId="77777777" w:rsidR="0094260F" w:rsidRDefault="009426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C7D"/>
    <w:rsid w:val="0004006F"/>
    <w:rsid w:val="00053775"/>
    <w:rsid w:val="0005619A"/>
    <w:rsid w:val="0008589D"/>
    <w:rsid w:val="0011259B"/>
    <w:rsid w:val="00116FDD"/>
    <w:rsid w:val="00125621"/>
    <w:rsid w:val="00175240"/>
    <w:rsid w:val="001A1B04"/>
    <w:rsid w:val="001D0BBF"/>
    <w:rsid w:val="001E1F85"/>
    <w:rsid w:val="001F125D"/>
    <w:rsid w:val="002345CC"/>
    <w:rsid w:val="00293785"/>
    <w:rsid w:val="002B4A13"/>
    <w:rsid w:val="002C0879"/>
    <w:rsid w:val="002C37B4"/>
    <w:rsid w:val="003018C6"/>
    <w:rsid w:val="003151D3"/>
    <w:rsid w:val="0036040A"/>
    <w:rsid w:val="00397FA9"/>
    <w:rsid w:val="00446C13"/>
    <w:rsid w:val="00481F91"/>
    <w:rsid w:val="004C55B8"/>
    <w:rsid w:val="004C7324"/>
    <w:rsid w:val="005078B4"/>
    <w:rsid w:val="0053328A"/>
    <w:rsid w:val="00540FC6"/>
    <w:rsid w:val="005511B6"/>
    <w:rsid w:val="00553C98"/>
    <w:rsid w:val="005775F1"/>
    <w:rsid w:val="00585853"/>
    <w:rsid w:val="005A7635"/>
    <w:rsid w:val="00645D7F"/>
    <w:rsid w:val="00656940"/>
    <w:rsid w:val="00665274"/>
    <w:rsid w:val="00666C03"/>
    <w:rsid w:val="00684688"/>
    <w:rsid w:val="00686DAB"/>
    <w:rsid w:val="006B4CC2"/>
    <w:rsid w:val="006E1542"/>
    <w:rsid w:val="006E746E"/>
    <w:rsid w:val="00721EA4"/>
    <w:rsid w:val="00790A46"/>
    <w:rsid w:val="00797CB5"/>
    <w:rsid w:val="007B055F"/>
    <w:rsid w:val="007E6F1D"/>
    <w:rsid w:val="00880013"/>
    <w:rsid w:val="008920A4"/>
    <w:rsid w:val="008F5386"/>
    <w:rsid w:val="00913172"/>
    <w:rsid w:val="00931482"/>
    <w:rsid w:val="0094260F"/>
    <w:rsid w:val="00981E19"/>
    <w:rsid w:val="009B52E4"/>
    <w:rsid w:val="009D6E8D"/>
    <w:rsid w:val="00A101E8"/>
    <w:rsid w:val="00A40905"/>
    <w:rsid w:val="00AC349E"/>
    <w:rsid w:val="00AE333A"/>
    <w:rsid w:val="00B92DBF"/>
    <w:rsid w:val="00BD119F"/>
    <w:rsid w:val="00C73EA1"/>
    <w:rsid w:val="00C8524A"/>
    <w:rsid w:val="00CC4F77"/>
    <w:rsid w:val="00CD3CF6"/>
    <w:rsid w:val="00CE336D"/>
    <w:rsid w:val="00D106FF"/>
    <w:rsid w:val="00D626EB"/>
    <w:rsid w:val="00DC7A6D"/>
    <w:rsid w:val="00DE2C7D"/>
    <w:rsid w:val="00E43DDB"/>
    <w:rsid w:val="00E76EC0"/>
    <w:rsid w:val="00ED24C8"/>
    <w:rsid w:val="00F377E2"/>
    <w:rsid w:val="00F50748"/>
    <w:rsid w:val="00F72D02"/>
    <w:rsid w:val="00F81DF8"/>
    <w:rsid w:val="00F94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97B5A"/>
  <w15:docId w15:val="{288886EF-9767-D947-B889-E8620AB1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paragraph" w:styleId="Bibliography">
    <w:name w:val="Bibliography"/>
    <w:basedOn w:val="Normal"/>
    <w:next w:val="Normal"/>
    <w:uiPriority w:val="37"/>
    <w:unhideWhenUsed/>
    <w:rsid w:val="00301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459030358">
      <w:bodyDiv w:val="1"/>
      <w:marLeft w:val="0"/>
      <w:marRight w:val="0"/>
      <w:marTop w:val="0"/>
      <w:marBottom w:val="0"/>
      <w:divBdr>
        <w:top w:val="none" w:sz="0" w:space="0" w:color="auto"/>
        <w:left w:val="none" w:sz="0" w:space="0" w:color="auto"/>
        <w:bottom w:val="none" w:sz="0" w:space="0" w:color="auto"/>
        <w:right w:val="none" w:sz="0" w:space="0" w:color="auto"/>
      </w:divBdr>
    </w:div>
    <w:div w:id="533857787">
      <w:bodyDiv w:val="1"/>
      <w:marLeft w:val="0"/>
      <w:marRight w:val="0"/>
      <w:marTop w:val="0"/>
      <w:marBottom w:val="0"/>
      <w:divBdr>
        <w:top w:val="none" w:sz="0" w:space="0" w:color="auto"/>
        <w:left w:val="none" w:sz="0" w:space="0" w:color="auto"/>
        <w:bottom w:val="none" w:sz="0" w:space="0" w:color="auto"/>
        <w:right w:val="none" w:sz="0" w:space="0" w:color="auto"/>
      </w:divBdr>
    </w:div>
    <w:div w:id="654843722">
      <w:bodyDiv w:val="1"/>
      <w:marLeft w:val="0"/>
      <w:marRight w:val="0"/>
      <w:marTop w:val="0"/>
      <w:marBottom w:val="0"/>
      <w:divBdr>
        <w:top w:val="none" w:sz="0" w:space="0" w:color="auto"/>
        <w:left w:val="none" w:sz="0" w:space="0" w:color="auto"/>
        <w:bottom w:val="none" w:sz="0" w:space="0" w:color="auto"/>
        <w:right w:val="none" w:sz="0" w:space="0" w:color="auto"/>
      </w:divBdr>
    </w:div>
    <w:div w:id="896167811">
      <w:bodyDiv w:val="1"/>
      <w:marLeft w:val="0"/>
      <w:marRight w:val="0"/>
      <w:marTop w:val="0"/>
      <w:marBottom w:val="0"/>
      <w:divBdr>
        <w:top w:val="none" w:sz="0" w:space="0" w:color="auto"/>
        <w:left w:val="none" w:sz="0" w:space="0" w:color="auto"/>
        <w:bottom w:val="none" w:sz="0" w:space="0" w:color="auto"/>
        <w:right w:val="none" w:sz="0" w:space="0" w:color="auto"/>
      </w:divBdr>
    </w:div>
    <w:div w:id="1020206763">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259143189">
      <w:bodyDiv w:val="1"/>
      <w:marLeft w:val="0"/>
      <w:marRight w:val="0"/>
      <w:marTop w:val="0"/>
      <w:marBottom w:val="0"/>
      <w:divBdr>
        <w:top w:val="none" w:sz="0" w:space="0" w:color="auto"/>
        <w:left w:val="none" w:sz="0" w:space="0" w:color="auto"/>
        <w:bottom w:val="none" w:sz="0" w:space="0" w:color="auto"/>
        <w:right w:val="none" w:sz="0" w:space="0" w:color="auto"/>
      </w:divBdr>
    </w:div>
    <w:div w:id="1282305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5239427414B34C866EB764FAA31A3C"/>
        <w:category>
          <w:name w:val="General"/>
          <w:gallery w:val="placeholder"/>
        </w:category>
        <w:types>
          <w:type w:val="bbPlcHdr"/>
        </w:types>
        <w:behaviors>
          <w:behavior w:val="content"/>
        </w:behaviors>
        <w:guid w:val="{F430A67E-C42A-B14C-BD06-5BCE1737D153}"/>
      </w:docPartPr>
      <w:docPartBody>
        <w:p w:rsidR="008F3ACE" w:rsidRDefault="00822A47">
          <w:pPr>
            <w:pStyle w:val="E15239427414B34C866EB764FAA31A3C"/>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A47"/>
    <w:rsid w:val="000D3F10"/>
    <w:rsid w:val="00234614"/>
    <w:rsid w:val="00822A47"/>
    <w:rsid w:val="008F3ACE"/>
    <w:rsid w:val="00967778"/>
    <w:rsid w:val="00B56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15239427414B34C866EB764FAA31A3C">
    <w:name w:val="E15239427414B34C866EB764FAA31A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Her18</b:Tag>
    <b:SourceType>JournalArticle</b:SourceType>
    <b:Guid>{9040FCA0-7736-344E-98CF-FAA73DF603F5}</b:Guid>
    <b:Author>
      <b:Author>
        <b:NameList>
          <b:Person>
            <b:Last>Herrera</b:Last>
            <b:First>Luis</b:First>
            <b:Middle>Javier Pentón</b:Middle>
          </b:Person>
          <b:Person>
            <b:Last>Kidwell</b:Last>
            <b:First>Tabitha</b:First>
          </b:Person>
        </b:NameList>
      </b:Author>
    </b:Author>
    <b:Title>Literature Circles 2.0: Updating a Classic Strategy for the 21st Century</b:Title>
    <b:Year>2018</b:Year>
    <b:JournalName>21st Century Learning &amp; Multicultural Education</b:JournalName>
    <b:Pages>17-21</b:Pages>
    <b:RefOrder>1</b:RefOrder>
  </b:Source>
  <b:Source>
    <b:Tag>Stu</b:Tag>
    <b:SourceType>InternetSite</b:SourceType>
    <b:Guid>{84D5E660-59FE-B94B-8EBE-6FA594988D0B}</b:Guid>
    <b:Title>Student-Centered Learning</b:Title>
    <b:InternetSiteTitle>ISTE</b:InternetSiteTitle>
    <b:URL>https://www.iste.org/standards/essential-conditions/student-centered-learning</b:URL>
    <b:RefOrder>2</b:RefOrder>
  </b:Source>
  <b:Source>
    <b:Tag>Ven</b:Tag>
    <b:SourceType>JournalArticle</b:SourceType>
    <b:Guid>{3100029C-5A5F-1B4B-8979-F11DEA19FBF2}</b:Guid>
    <b:Author>
      <b:Author>
        <b:NameList>
          <b:Person>
            <b:Last>Venegas</b:Last>
            <b:First>Elena</b:First>
          </b:Person>
        </b:NameList>
      </b:Author>
    </b:Author>
    <b:Title>"We Listened to Each Other": Socieoemotional Growth in Literature Circles</b:Title>
    <b:JournalName>The Reading Teacher</b:JournalName>
    <b:Pages>149-159</b:Pages>
    <b:Volume>73</b:Volume>
    <b:Issue>2</b:Issue>
    <b:RefOrder>3</b:RefOrder>
  </b:Source>
  <b:Source>
    <b:Tag>Her181</b:Tag>
    <b:SourceType>JournalArticle</b:SourceType>
    <b:Guid>{49EBAC9D-7154-8A4D-9DA7-70B2F4842912}</b:Guid>
    <b:Author>
      <b:Author>
        <b:NameList>
          <b:Person>
            <b:Last>Herrera</b:Last>
            <b:First>Luis</b:First>
            <b:Middle>Javier Pentón</b:Middle>
          </b:Person>
          <b:Person>
            <b:Last>Kidwell</b:Last>
            <b:First>Tabitha</b:First>
          </b:Person>
        </b:NameList>
      </b:Author>
    </b:Author>
    <b:Title>Literature Circles 2.0: Updateing a Classic Strategy for the 21st Century</b:Title>
    <b:JournalName>21st Century Learning and Multicultural Learning</b:JournalName>
    <b:Year>2018</b:Year>
    <b:Pages>17-21</b:Pages>
    <b:RefOrder>4</b:RefOrder>
  </b:Source>
  <b:Source>
    <b:Tag>Bro14</b:Tag>
    <b:SourceType>JournalArticle</b:SourceType>
    <b:Guid>{6DD979F0-2930-EC4E-B4EC-C88ABEC0C0B9}</b:Guid>
    <b:Author>
      <b:Author>
        <b:NameList>
          <b:Person>
            <b:Last>Bromley</b:Last>
            <b:First>Karen</b:First>
          </b:Person>
          <b:Person>
            <b:Last>Faughnana</b:Last>
            <b:First>Michelle</b:First>
          </b:Person>
          <b:Person>
            <b:Last>Ham</b:Last>
            <b:First>Susan</b:First>
          </b:Person>
          <b:Person>
            <b:Last>Miller</b:Last>
            <b:First>Melissa</b:First>
          </b:Person>
          <b:Person>
            <b:Last>Armstrong</b:Last>
            <b:First>Traci</b:First>
          </b:Person>
          <b:Person>
            <b:Last>Crandall</b:Last>
            <b:First>Cassandra</b:First>
          </b:Person>
          <b:Person>
            <b:Last>Garrison</b:Last>
            <b:First>Julia</b:First>
          </b:Person>
          <b:Person>
            <b:Last>Marrone</b:Last>
            <b:First>Nicholas</b:First>
          </b:Person>
        </b:NameList>
      </b:Author>
    </b:Author>
    <b:Title>Literature Circles Go Digital</b:Title>
    <b:JournalName>The Reading Teacher</b:JournalName>
    <b:Year>2014</b:Year>
    <b:Pages>229-236</b:Pages>
    <b:Volume>68</b:Volume>
    <b:Issue>3</b:Issue>
    <b:RefOrder>5</b:RefOrder>
  </b:Source>
</b:Sources>
</file>

<file path=customXml/itemProps1.xml><?xml version="1.0" encoding="utf-8"?>
<ds:datastoreItem xmlns:ds="http://schemas.openxmlformats.org/officeDocument/2006/customXml" ds:itemID="{43E931F4-5D5A-D148-8D31-3A63DDF97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Literature Circles</vt:lpstr>
    </vt:vector>
  </TitlesOfParts>
  <Manager/>
  <Company/>
  <LinksUpToDate>false</LinksUpToDate>
  <CharactersWithSpaces>3734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Literature Circles</dc:title>
  <dc:subject/>
  <dc:creator>K20 Center</dc:creator>
  <cp:keywords>Roles</cp:keywords>
  <dc:description/>
  <cp:lastModifiedBy>McLeod Porter, Delma</cp:lastModifiedBy>
  <cp:revision>2</cp:revision>
  <cp:lastPrinted>2016-07-14T14:08:00Z</cp:lastPrinted>
  <dcterms:created xsi:type="dcterms:W3CDTF">2021-11-02T15:20:00Z</dcterms:created>
  <dcterms:modified xsi:type="dcterms:W3CDTF">2021-11-02T15:20:00Z</dcterms:modified>
  <cp:category/>
</cp:coreProperties>
</file>