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72CD04" w14:textId="12381B44" w:rsidR="00446C13" w:rsidRDefault="00C9404D" w:rsidP="00DC7A6D">
      <w:pPr>
        <w:pStyle w:val="Title"/>
      </w:pPr>
      <w:r>
        <w:t>Card Sort</w:t>
      </w:r>
    </w:p>
    <w:tbl>
      <w:tblPr>
        <w:tblStyle w:val="a"/>
        <w:tblW w:w="9836" w:type="dxa"/>
        <w:tblInd w:w="-10" w:type="dxa"/>
        <w:tblBorders>
          <w:top w:val="dashed" w:sz="12" w:space="0" w:color="BED7D3" w:themeColor="accent3"/>
          <w:left w:val="dashed" w:sz="12" w:space="0" w:color="BED7D3" w:themeColor="accent3"/>
          <w:bottom w:val="dashed" w:sz="12" w:space="0" w:color="BED7D3" w:themeColor="accent3"/>
          <w:right w:val="dashed" w:sz="12" w:space="0" w:color="BED7D3" w:themeColor="accent3"/>
          <w:insideH w:val="dashed" w:sz="12" w:space="0" w:color="BED7D3" w:themeColor="accent3"/>
          <w:insideV w:val="dashed" w:sz="12" w:space="0" w:color="BED7D3" w:themeColor="accent3"/>
        </w:tblBorders>
        <w:tblLayout w:type="fixed"/>
        <w:tblCellMar>
          <w:top w:w="58" w:type="dxa"/>
          <w:bottom w:w="58" w:type="dxa"/>
        </w:tblCellMar>
        <w:tblLook w:val="04A0" w:firstRow="1" w:lastRow="0" w:firstColumn="1" w:lastColumn="0" w:noHBand="0" w:noVBand="1"/>
      </w:tblPr>
      <w:tblGrid>
        <w:gridCol w:w="3278"/>
        <w:gridCol w:w="3279"/>
        <w:gridCol w:w="3279"/>
      </w:tblGrid>
      <w:tr w:rsidR="00C9404D" w14:paraId="0294A4FA" w14:textId="77777777" w:rsidTr="00A448A3">
        <w:trPr>
          <w:trHeight w:val="2247"/>
        </w:trPr>
        <w:tc>
          <w:tcPr>
            <w:tcW w:w="3278" w:type="dxa"/>
            <w:shd w:val="clear" w:color="auto" w:fill="FFFFFF"/>
            <w:vAlign w:val="center"/>
          </w:tcPr>
          <w:p w14:paraId="23C2BFCD" w14:textId="2CDA9E81" w:rsidR="00C9404D" w:rsidRPr="005A795D" w:rsidRDefault="00C9404D" w:rsidP="00A448A3">
            <w:pPr>
              <w:spacing w:after="0"/>
              <w:jc w:val="center"/>
              <w:rPr>
                <w:color w:val="910D28" w:themeColor="accent1"/>
                <w:sz w:val="20"/>
                <w:szCs w:val="20"/>
              </w:rPr>
            </w:pPr>
            <w:r w:rsidRPr="005A795D">
              <w:rPr>
                <w:rFonts w:ascii="Calibri" w:hAnsi="Calibri" w:cs="Calibri"/>
                <w:color w:val="910D28" w:themeColor="accent1"/>
                <w:sz w:val="20"/>
                <w:szCs w:val="20"/>
              </w:rPr>
              <w:t>Students view a video clip in which people on the street are asked what GMO means. Students engage in discussion about</w:t>
            </w:r>
            <w:r w:rsidR="006D2AEF" w:rsidRPr="005A795D">
              <w:rPr>
                <w:rFonts w:ascii="Calibri" w:hAnsi="Calibri" w:cs="Calibri"/>
                <w:color w:val="910D28" w:themeColor="accent1"/>
                <w:sz w:val="20"/>
                <w:szCs w:val="20"/>
              </w:rPr>
              <w:t xml:space="preserve"> their knowledge of </w:t>
            </w:r>
            <w:r w:rsidRPr="005A795D">
              <w:rPr>
                <w:rFonts w:ascii="Calibri" w:hAnsi="Calibri" w:cs="Calibri"/>
                <w:color w:val="910D28" w:themeColor="accent1"/>
                <w:sz w:val="20"/>
                <w:szCs w:val="20"/>
              </w:rPr>
              <w:t xml:space="preserve">GMOs and </w:t>
            </w:r>
            <w:r w:rsidR="006D2AEF" w:rsidRPr="005A795D">
              <w:rPr>
                <w:rFonts w:ascii="Calibri" w:hAnsi="Calibri" w:cs="Calibri"/>
                <w:color w:val="910D28" w:themeColor="accent1"/>
                <w:sz w:val="20"/>
                <w:szCs w:val="20"/>
              </w:rPr>
              <w:t xml:space="preserve">whether </w:t>
            </w:r>
            <w:r w:rsidRPr="005A795D">
              <w:rPr>
                <w:rFonts w:ascii="Calibri" w:hAnsi="Calibri" w:cs="Calibri"/>
                <w:color w:val="910D28" w:themeColor="accent1"/>
                <w:sz w:val="20"/>
                <w:szCs w:val="20"/>
              </w:rPr>
              <w:t xml:space="preserve">GMOs </w:t>
            </w:r>
            <w:r w:rsidR="006D2AEF" w:rsidRPr="005A795D">
              <w:rPr>
                <w:rFonts w:ascii="Calibri" w:hAnsi="Calibri" w:cs="Calibri"/>
                <w:color w:val="910D28" w:themeColor="accent1"/>
                <w:sz w:val="20"/>
                <w:szCs w:val="20"/>
              </w:rPr>
              <w:t>are good or bad</w:t>
            </w:r>
            <w:r w:rsidRPr="005A795D">
              <w:rPr>
                <w:rFonts w:ascii="Calibri" w:hAnsi="Calibri" w:cs="Calibri"/>
                <w:color w:val="910D28" w:themeColor="accent1"/>
                <w:sz w:val="20"/>
                <w:szCs w:val="20"/>
              </w:rPr>
              <w:t>.</w:t>
            </w:r>
          </w:p>
        </w:tc>
        <w:tc>
          <w:tcPr>
            <w:tcW w:w="3279" w:type="dxa"/>
            <w:shd w:val="clear" w:color="auto" w:fill="FFFFFF"/>
            <w:vAlign w:val="center"/>
          </w:tcPr>
          <w:p w14:paraId="0144E090" w14:textId="2D2E58AC" w:rsidR="00C9404D" w:rsidRPr="00C9404D" w:rsidRDefault="00C9404D" w:rsidP="00A448A3">
            <w:pPr>
              <w:spacing w:after="0"/>
              <w:jc w:val="center"/>
              <w:rPr>
                <w:sz w:val="22"/>
              </w:rPr>
            </w:pPr>
            <w:r w:rsidRPr="00C9404D">
              <w:rPr>
                <w:rFonts w:ascii="Calibri" w:hAnsi="Calibri" w:cs="Calibri"/>
                <w:b/>
                <w:bCs/>
                <w:color w:val="000000"/>
                <w:sz w:val="22"/>
              </w:rPr>
              <w:t>Engage</w:t>
            </w:r>
          </w:p>
        </w:tc>
        <w:tc>
          <w:tcPr>
            <w:tcW w:w="3279" w:type="dxa"/>
            <w:shd w:val="clear" w:color="auto" w:fill="FFFFFF"/>
            <w:vAlign w:val="center"/>
          </w:tcPr>
          <w:p w14:paraId="4A67938F" w14:textId="660C9373" w:rsidR="00C9404D" w:rsidRPr="005A795D" w:rsidRDefault="00C9404D" w:rsidP="00A448A3">
            <w:pPr>
              <w:spacing w:after="0"/>
              <w:jc w:val="center"/>
              <w:rPr>
                <w:i/>
                <w:iCs/>
                <w:color w:val="3E5C61" w:themeColor="text2"/>
                <w:sz w:val="22"/>
              </w:rPr>
            </w:pPr>
            <w:r w:rsidRPr="005A795D">
              <w:rPr>
                <w:rFonts w:ascii="Calibri" w:hAnsi="Calibri" w:cs="Calibri"/>
                <w:i/>
                <w:iCs/>
                <w:color w:val="3E5C61" w:themeColor="text2"/>
                <w:sz w:val="22"/>
              </w:rPr>
              <w:t>Capture interest and establish prior knowledge.</w:t>
            </w:r>
          </w:p>
        </w:tc>
      </w:tr>
      <w:tr w:rsidR="00C9404D" w14:paraId="540A7998" w14:textId="77777777" w:rsidTr="00A448A3">
        <w:trPr>
          <w:trHeight w:val="2247"/>
        </w:trPr>
        <w:tc>
          <w:tcPr>
            <w:tcW w:w="3278" w:type="dxa"/>
            <w:shd w:val="clear" w:color="auto" w:fill="FFFFFF"/>
            <w:vAlign w:val="center"/>
          </w:tcPr>
          <w:p w14:paraId="1B89C977" w14:textId="38584458" w:rsidR="00C9404D" w:rsidRPr="005A795D" w:rsidRDefault="00C9404D" w:rsidP="00A448A3">
            <w:pPr>
              <w:spacing w:after="0"/>
              <w:jc w:val="center"/>
              <w:rPr>
                <w:color w:val="910D28" w:themeColor="accent1"/>
                <w:sz w:val="20"/>
                <w:szCs w:val="20"/>
              </w:rPr>
            </w:pPr>
            <w:r w:rsidRPr="005A795D">
              <w:rPr>
                <w:rFonts w:ascii="Calibri" w:hAnsi="Calibri" w:cs="Calibri"/>
                <w:color w:val="910D28" w:themeColor="accent1"/>
                <w:sz w:val="20"/>
                <w:szCs w:val="20"/>
              </w:rPr>
              <w:t>Students work in groups as either a prosecution or defense team. Students rotate through stations to gather research about genetically modified organisms.</w:t>
            </w:r>
          </w:p>
        </w:tc>
        <w:tc>
          <w:tcPr>
            <w:tcW w:w="3279" w:type="dxa"/>
            <w:shd w:val="clear" w:color="auto" w:fill="FFFFFF"/>
            <w:vAlign w:val="center"/>
          </w:tcPr>
          <w:p w14:paraId="10028804" w14:textId="79AE8DCC" w:rsidR="00C9404D" w:rsidRPr="00901851" w:rsidRDefault="00C9404D" w:rsidP="00A448A3">
            <w:pPr>
              <w:spacing w:after="0"/>
              <w:jc w:val="center"/>
              <w:rPr>
                <w:sz w:val="22"/>
              </w:rPr>
            </w:pPr>
            <w:r w:rsidRPr="00901851">
              <w:rPr>
                <w:rFonts w:ascii="Calibri" w:hAnsi="Calibri" w:cs="Calibri"/>
                <w:b/>
                <w:bCs/>
                <w:color w:val="000000"/>
                <w:sz w:val="22"/>
              </w:rPr>
              <w:t>Explore</w:t>
            </w:r>
          </w:p>
        </w:tc>
        <w:tc>
          <w:tcPr>
            <w:tcW w:w="3279" w:type="dxa"/>
            <w:shd w:val="clear" w:color="auto" w:fill="FFFFFF"/>
            <w:vAlign w:val="center"/>
          </w:tcPr>
          <w:p w14:paraId="4C28CB42" w14:textId="3882CFF5" w:rsidR="00C9404D" w:rsidRPr="005A795D" w:rsidRDefault="00C9404D" w:rsidP="00A448A3">
            <w:pPr>
              <w:spacing w:after="0"/>
              <w:jc w:val="center"/>
              <w:rPr>
                <w:i/>
                <w:iCs/>
                <w:color w:val="3E5C61" w:themeColor="text2"/>
                <w:sz w:val="22"/>
              </w:rPr>
            </w:pPr>
            <w:r w:rsidRPr="005A795D">
              <w:rPr>
                <w:rFonts w:ascii="Calibri" w:hAnsi="Calibri" w:cs="Calibri"/>
                <w:i/>
                <w:iCs/>
                <w:color w:val="3E5C61" w:themeColor="text2"/>
                <w:sz w:val="22"/>
              </w:rPr>
              <w:t>Construct knowledge through questioning and active engagement in a learning task.</w:t>
            </w:r>
          </w:p>
        </w:tc>
      </w:tr>
      <w:tr w:rsidR="00C9404D" w14:paraId="1C9BC185" w14:textId="77777777" w:rsidTr="00A448A3">
        <w:trPr>
          <w:trHeight w:val="2247"/>
        </w:trPr>
        <w:tc>
          <w:tcPr>
            <w:tcW w:w="3278" w:type="dxa"/>
            <w:shd w:val="clear" w:color="auto" w:fill="FFFFFF"/>
            <w:vAlign w:val="center"/>
          </w:tcPr>
          <w:p w14:paraId="30E79529" w14:textId="2D42C740" w:rsidR="00C9404D" w:rsidRPr="005A795D" w:rsidRDefault="00C9404D" w:rsidP="00A448A3">
            <w:pPr>
              <w:spacing w:after="0"/>
              <w:jc w:val="center"/>
              <w:rPr>
                <w:color w:val="910D28" w:themeColor="accent1"/>
                <w:sz w:val="20"/>
                <w:szCs w:val="20"/>
              </w:rPr>
            </w:pPr>
            <w:r w:rsidRPr="005A795D">
              <w:rPr>
                <w:rFonts w:ascii="Calibri" w:hAnsi="Calibri" w:cs="Calibri"/>
                <w:color w:val="910D28" w:themeColor="accent1"/>
                <w:sz w:val="20"/>
                <w:szCs w:val="20"/>
              </w:rPr>
              <w:t xml:space="preserve">Students prepare their opening and closing statements, </w:t>
            </w:r>
            <w:r w:rsidR="006D2AEF" w:rsidRPr="005A795D">
              <w:rPr>
                <w:rFonts w:ascii="Calibri" w:hAnsi="Calibri" w:cs="Calibri"/>
                <w:color w:val="910D28" w:themeColor="accent1"/>
                <w:sz w:val="20"/>
                <w:szCs w:val="20"/>
              </w:rPr>
              <w:t>making</w:t>
            </w:r>
            <w:r w:rsidRPr="005A795D">
              <w:rPr>
                <w:rFonts w:ascii="Calibri" w:hAnsi="Calibri" w:cs="Calibri"/>
                <w:color w:val="910D28" w:themeColor="accent1"/>
                <w:sz w:val="20"/>
                <w:szCs w:val="20"/>
              </w:rPr>
              <w:t xml:space="preserve"> claims and citing evidence, as well as </w:t>
            </w:r>
            <w:r w:rsidR="006D2AEF" w:rsidRPr="005A795D">
              <w:rPr>
                <w:rFonts w:ascii="Calibri" w:hAnsi="Calibri" w:cs="Calibri"/>
                <w:color w:val="910D28" w:themeColor="accent1"/>
                <w:sz w:val="20"/>
                <w:szCs w:val="20"/>
              </w:rPr>
              <w:t xml:space="preserve">preparing </w:t>
            </w:r>
            <w:r w:rsidRPr="005A795D">
              <w:rPr>
                <w:rFonts w:ascii="Calibri" w:hAnsi="Calibri" w:cs="Calibri"/>
                <w:color w:val="910D28" w:themeColor="accent1"/>
                <w:sz w:val="20"/>
                <w:szCs w:val="20"/>
              </w:rPr>
              <w:t>questions for opposition.</w:t>
            </w:r>
          </w:p>
        </w:tc>
        <w:tc>
          <w:tcPr>
            <w:tcW w:w="3279" w:type="dxa"/>
            <w:shd w:val="clear" w:color="auto" w:fill="FFFFFF"/>
            <w:vAlign w:val="center"/>
          </w:tcPr>
          <w:p w14:paraId="4A567AF7" w14:textId="10031544" w:rsidR="00C9404D" w:rsidRPr="00901851" w:rsidRDefault="00C9404D" w:rsidP="00A448A3">
            <w:pPr>
              <w:spacing w:after="0"/>
              <w:jc w:val="center"/>
              <w:rPr>
                <w:sz w:val="22"/>
              </w:rPr>
            </w:pPr>
            <w:r w:rsidRPr="00901851">
              <w:rPr>
                <w:rFonts w:ascii="Calibri" w:hAnsi="Calibri" w:cs="Calibri"/>
                <w:b/>
                <w:bCs/>
                <w:color w:val="000000"/>
                <w:sz w:val="22"/>
              </w:rPr>
              <w:t>Explain</w:t>
            </w:r>
          </w:p>
        </w:tc>
        <w:tc>
          <w:tcPr>
            <w:tcW w:w="3279" w:type="dxa"/>
            <w:shd w:val="clear" w:color="auto" w:fill="FFFFFF"/>
            <w:vAlign w:val="center"/>
          </w:tcPr>
          <w:p w14:paraId="17E4F6A3" w14:textId="77777777" w:rsidR="00A448A3" w:rsidRPr="005A795D" w:rsidRDefault="00C9404D" w:rsidP="00A448A3">
            <w:pPr>
              <w:spacing w:after="0"/>
              <w:jc w:val="center"/>
              <w:rPr>
                <w:rFonts w:ascii="Calibri" w:hAnsi="Calibri" w:cs="Calibri"/>
                <w:i/>
                <w:iCs/>
                <w:color w:val="3E5C61" w:themeColor="text2"/>
                <w:sz w:val="22"/>
              </w:rPr>
            </w:pPr>
            <w:r w:rsidRPr="005A795D">
              <w:rPr>
                <w:rFonts w:ascii="Calibri" w:hAnsi="Calibri" w:cs="Calibri"/>
                <w:i/>
                <w:iCs/>
                <w:color w:val="3E5C61" w:themeColor="text2"/>
                <w:sz w:val="22"/>
              </w:rPr>
              <w:t xml:space="preserve">Interpret, clarify, and </w:t>
            </w:r>
          </w:p>
          <w:p w14:paraId="72B81F75" w14:textId="12F68F52" w:rsidR="00C9404D" w:rsidRPr="005A795D" w:rsidRDefault="00C9404D" w:rsidP="00A448A3">
            <w:pPr>
              <w:spacing w:after="0"/>
              <w:jc w:val="center"/>
              <w:rPr>
                <w:i/>
                <w:iCs/>
                <w:color w:val="3E5C61" w:themeColor="text2"/>
                <w:sz w:val="22"/>
              </w:rPr>
            </w:pPr>
            <w:r w:rsidRPr="005A795D">
              <w:rPr>
                <w:rFonts w:ascii="Calibri" w:hAnsi="Calibri" w:cs="Calibri"/>
                <w:i/>
                <w:iCs/>
                <w:color w:val="3E5C61" w:themeColor="text2"/>
                <w:sz w:val="22"/>
              </w:rPr>
              <w:t>refine learning.</w:t>
            </w:r>
          </w:p>
        </w:tc>
      </w:tr>
      <w:tr w:rsidR="00901851" w14:paraId="7175567C" w14:textId="77777777" w:rsidTr="00A448A3">
        <w:trPr>
          <w:trHeight w:val="2247"/>
        </w:trPr>
        <w:tc>
          <w:tcPr>
            <w:tcW w:w="3278" w:type="dxa"/>
            <w:shd w:val="clear" w:color="auto" w:fill="FFFFFF"/>
            <w:vAlign w:val="center"/>
          </w:tcPr>
          <w:p w14:paraId="1E5BC217" w14:textId="147685A1" w:rsidR="00901851" w:rsidRPr="005A795D" w:rsidRDefault="00901851" w:rsidP="00A448A3">
            <w:pPr>
              <w:spacing w:after="0"/>
              <w:jc w:val="center"/>
              <w:rPr>
                <w:color w:val="910D28" w:themeColor="accent1"/>
                <w:sz w:val="20"/>
                <w:szCs w:val="20"/>
              </w:rPr>
            </w:pPr>
            <w:r w:rsidRPr="005A795D">
              <w:rPr>
                <w:rFonts w:ascii="Calibri" w:hAnsi="Calibri" w:cs="Calibri"/>
                <w:color w:val="910D28" w:themeColor="accent1"/>
                <w:sz w:val="20"/>
                <w:szCs w:val="20"/>
              </w:rPr>
              <w:t>Students debate the pros, cons</w:t>
            </w:r>
            <w:r w:rsidR="006D2AEF" w:rsidRPr="005A795D">
              <w:rPr>
                <w:rFonts w:ascii="Calibri" w:hAnsi="Calibri" w:cs="Calibri"/>
                <w:color w:val="910D28" w:themeColor="accent1"/>
                <w:sz w:val="20"/>
                <w:szCs w:val="20"/>
              </w:rPr>
              <w:t>,</w:t>
            </w:r>
            <w:r w:rsidRPr="005A795D">
              <w:rPr>
                <w:rFonts w:ascii="Calibri" w:hAnsi="Calibri" w:cs="Calibri"/>
                <w:color w:val="910D28" w:themeColor="accent1"/>
                <w:sz w:val="20"/>
                <w:szCs w:val="20"/>
              </w:rPr>
              <w:t xml:space="preserve"> and ethical concerns regarding </w:t>
            </w:r>
            <w:r w:rsidR="006D2AEF" w:rsidRPr="005A795D">
              <w:rPr>
                <w:rFonts w:ascii="Calibri" w:hAnsi="Calibri" w:cs="Calibri"/>
                <w:color w:val="910D28" w:themeColor="accent1"/>
                <w:sz w:val="20"/>
                <w:szCs w:val="20"/>
              </w:rPr>
              <w:t>g</w:t>
            </w:r>
            <w:r w:rsidRPr="005A795D">
              <w:rPr>
                <w:rFonts w:ascii="Calibri" w:hAnsi="Calibri" w:cs="Calibri"/>
                <w:color w:val="910D28" w:themeColor="accent1"/>
                <w:sz w:val="20"/>
                <w:szCs w:val="20"/>
              </w:rPr>
              <w:t xml:space="preserve">enetically </w:t>
            </w:r>
            <w:r w:rsidR="006D2AEF" w:rsidRPr="005A795D">
              <w:rPr>
                <w:rFonts w:ascii="Calibri" w:hAnsi="Calibri" w:cs="Calibri"/>
                <w:color w:val="910D28" w:themeColor="accent1"/>
                <w:sz w:val="20"/>
                <w:szCs w:val="20"/>
              </w:rPr>
              <w:t>m</w:t>
            </w:r>
            <w:r w:rsidRPr="005A795D">
              <w:rPr>
                <w:rFonts w:ascii="Calibri" w:hAnsi="Calibri" w:cs="Calibri"/>
                <w:color w:val="910D28" w:themeColor="accent1"/>
                <w:sz w:val="20"/>
                <w:szCs w:val="20"/>
              </w:rPr>
              <w:t>odified organisms by writing and presenting claims supported by evidence. Students follow debate protocol.</w:t>
            </w:r>
          </w:p>
        </w:tc>
        <w:tc>
          <w:tcPr>
            <w:tcW w:w="3279" w:type="dxa"/>
            <w:shd w:val="clear" w:color="auto" w:fill="FFFFFF"/>
            <w:vAlign w:val="center"/>
          </w:tcPr>
          <w:p w14:paraId="4131BDBA" w14:textId="2D177FB1" w:rsidR="00901851" w:rsidRPr="00901851" w:rsidRDefault="00901851" w:rsidP="00A448A3">
            <w:pPr>
              <w:spacing w:after="0"/>
              <w:jc w:val="center"/>
              <w:rPr>
                <w:sz w:val="22"/>
              </w:rPr>
            </w:pPr>
            <w:r w:rsidRPr="00901851">
              <w:rPr>
                <w:rFonts w:ascii="Calibri" w:hAnsi="Calibri" w:cs="Calibri"/>
                <w:b/>
                <w:bCs/>
                <w:color w:val="000000"/>
                <w:sz w:val="22"/>
              </w:rPr>
              <w:t>Extend</w:t>
            </w:r>
          </w:p>
        </w:tc>
        <w:tc>
          <w:tcPr>
            <w:tcW w:w="3279" w:type="dxa"/>
            <w:shd w:val="clear" w:color="auto" w:fill="FFFFFF"/>
            <w:vAlign w:val="center"/>
          </w:tcPr>
          <w:p w14:paraId="52148EF8" w14:textId="77777777" w:rsidR="00A448A3" w:rsidRPr="005A795D" w:rsidRDefault="00901851" w:rsidP="00A448A3">
            <w:pPr>
              <w:spacing w:after="0"/>
              <w:jc w:val="center"/>
              <w:rPr>
                <w:rFonts w:ascii="Calibri" w:hAnsi="Calibri" w:cs="Calibri"/>
                <w:i/>
                <w:iCs/>
                <w:color w:val="3E5C61" w:themeColor="text2"/>
                <w:sz w:val="22"/>
              </w:rPr>
            </w:pPr>
            <w:r w:rsidRPr="005A795D">
              <w:rPr>
                <w:rFonts w:ascii="Calibri" w:hAnsi="Calibri" w:cs="Calibri"/>
                <w:i/>
                <w:iCs/>
                <w:color w:val="3E5C61" w:themeColor="text2"/>
                <w:sz w:val="22"/>
              </w:rPr>
              <w:t xml:space="preserve">Apply and </w:t>
            </w:r>
          </w:p>
          <w:p w14:paraId="2C486C74" w14:textId="45D68762" w:rsidR="00901851" w:rsidRPr="005A795D" w:rsidRDefault="00901851" w:rsidP="00A448A3">
            <w:pPr>
              <w:spacing w:after="0"/>
              <w:jc w:val="center"/>
              <w:rPr>
                <w:i/>
                <w:iCs/>
                <w:color w:val="3E5C61" w:themeColor="text2"/>
                <w:sz w:val="22"/>
              </w:rPr>
            </w:pPr>
            <w:r w:rsidRPr="005A795D">
              <w:rPr>
                <w:rFonts w:ascii="Calibri" w:hAnsi="Calibri" w:cs="Calibri"/>
                <w:i/>
                <w:iCs/>
                <w:color w:val="3E5C61" w:themeColor="text2"/>
                <w:sz w:val="22"/>
              </w:rPr>
              <w:t>generalize learning.</w:t>
            </w:r>
          </w:p>
        </w:tc>
      </w:tr>
      <w:tr w:rsidR="00901851" w14:paraId="64CF9B91" w14:textId="77777777" w:rsidTr="00A448A3">
        <w:trPr>
          <w:trHeight w:val="2247"/>
        </w:trPr>
        <w:tc>
          <w:tcPr>
            <w:tcW w:w="3278" w:type="dxa"/>
            <w:shd w:val="clear" w:color="auto" w:fill="FFFFFF"/>
            <w:vAlign w:val="center"/>
          </w:tcPr>
          <w:p w14:paraId="3D83C3AA" w14:textId="0B641AA5" w:rsidR="00901851" w:rsidRPr="005A795D" w:rsidRDefault="00901851" w:rsidP="00A448A3">
            <w:pPr>
              <w:spacing w:after="0"/>
              <w:jc w:val="center"/>
              <w:rPr>
                <w:color w:val="910D28" w:themeColor="accent1"/>
                <w:sz w:val="20"/>
                <w:szCs w:val="20"/>
              </w:rPr>
            </w:pPr>
            <w:r w:rsidRPr="005A795D">
              <w:rPr>
                <w:rFonts w:ascii="Calibri" w:hAnsi="Calibri" w:cs="Calibri"/>
                <w:color w:val="910D28" w:themeColor="accent1"/>
                <w:sz w:val="20"/>
                <w:szCs w:val="20"/>
              </w:rPr>
              <w:t>Students not involved in the case actively listen to each debate proceeding as members of the jury. They use the provided analysis document to judge the winner of the case for each group.</w:t>
            </w:r>
          </w:p>
        </w:tc>
        <w:tc>
          <w:tcPr>
            <w:tcW w:w="3279" w:type="dxa"/>
            <w:shd w:val="clear" w:color="auto" w:fill="FFFFFF"/>
            <w:vAlign w:val="center"/>
          </w:tcPr>
          <w:p w14:paraId="02F62AE7" w14:textId="535885A1" w:rsidR="00901851" w:rsidRPr="00901851" w:rsidRDefault="00901851" w:rsidP="00A448A3">
            <w:pPr>
              <w:spacing w:after="0"/>
              <w:jc w:val="center"/>
              <w:rPr>
                <w:sz w:val="22"/>
              </w:rPr>
            </w:pPr>
            <w:r w:rsidRPr="00901851">
              <w:rPr>
                <w:rFonts w:ascii="Calibri" w:hAnsi="Calibri" w:cs="Calibri"/>
                <w:b/>
                <w:bCs/>
                <w:color w:val="000000"/>
                <w:sz w:val="22"/>
              </w:rPr>
              <w:t>Evaluate</w:t>
            </w:r>
          </w:p>
        </w:tc>
        <w:tc>
          <w:tcPr>
            <w:tcW w:w="3279" w:type="dxa"/>
            <w:shd w:val="clear" w:color="auto" w:fill="FFFFFF"/>
            <w:vAlign w:val="center"/>
          </w:tcPr>
          <w:p w14:paraId="38D880BD" w14:textId="060B52C0" w:rsidR="00901851" w:rsidRPr="005A795D" w:rsidRDefault="00901851" w:rsidP="00A448A3">
            <w:pPr>
              <w:spacing w:after="0"/>
              <w:jc w:val="center"/>
              <w:rPr>
                <w:i/>
                <w:iCs/>
                <w:color w:val="3E5C61" w:themeColor="text2"/>
                <w:sz w:val="22"/>
              </w:rPr>
            </w:pPr>
            <w:r w:rsidRPr="005A795D">
              <w:rPr>
                <w:rFonts w:ascii="Calibri" w:hAnsi="Calibri" w:cs="Calibri"/>
                <w:i/>
                <w:iCs/>
                <w:color w:val="3E5C61" w:themeColor="text2"/>
                <w:sz w:val="22"/>
              </w:rPr>
              <w:t>Assess learning.</w:t>
            </w:r>
          </w:p>
        </w:tc>
      </w:tr>
    </w:tbl>
    <w:p w14:paraId="7BE7DCED" w14:textId="77777777" w:rsidR="00730B27" w:rsidRPr="00730B27" w:rsidRDefault="00730B27" w:rsidP="00730B27"/>
    <w:sectPr w:rsidR="00730B27" w:rsidRPr="00730B27" w:rsidSect="009018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9C47" w14:textId="77777777" w:rsidR="00257354" w:rsidRDefault="00257354" w:rsidP="00293785">
      <w:pPr>
        <w:spacing w:after="0" w:line="240" w:lineRule="auto"/>
      </w:pPr>
      <w:r>
        <w:separator/>
      </w:r>
    </w:p>
  </w:endnote>
  <w:endnote w:type="continuationSeparator" w:id="0">
    <w:p w14:paraId="3A22C49F" w14:textId="77777777" w:rsidR="00257354" w:rsidRDefault="0025735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7CA4C" w14:textId="77777777" w:rsidR="00C9404D" w:rsidRDefault="00C94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130D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1E9EAF0" wp14:editId="05E6B8A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7987B7" w14:textId="77777777" w:rsidR="00293785" w:rsidRDefault="00257354" w:rsidP="00D106FF">
                          <w:pPr>
                            <w:pStyle w:val="LessonFooter"/>
                          </w:pPr>
                          <w:sdt>
                            <w:sdtPr>
                              <w:alias w:val="Title"/>
                              <w:tag w:val=""/>
                              <w:id w:val="1281607793"/>
                              <w:placeholder>
                                <w:docPart w:val="A84C6699372B3C49B005C76C8862579D"/>
                              </w:placeholder>
                              <w:dataBinding w:prefixMappings="xmlns:ns0='http://purl.org/dc/elements/1.1/' xmlns:ns1='http://schemas.openxmlformats.org/package/2006/metadata/core-properties' " w:xpath="/ns1:coreProperties[1]/ns0:title[1]" w:storeItemID="{6C3C8BC8-F283-45AE-878A-BAB7291924A1}"/>
                              <w:text/>
                            </w:sdtPr>
                            <w:sdtEndPr/>
                            <w:sdtContent>
                              <w:r w:rsidR="00730B27">
                                <w:t>What's a 5E?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9EAF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77987B7" w14:textId="77777777" w:rsidR="00293785" w:rsidRDefault="005A795D" w:rsidP="00D106FF">
                    <w:pPr>
                      <w:pStyle w:val="LessonFooter"/>
                    </w:pPr>
                    <w:sdt>
                      <w:sdtPr>
                        <w:alias w:val="Title"/>
                        <w:tag w:val=""/>
                        <w:id w:val="1281607793"/>
                        <w:placeholder>
                          <w:docPart w:val="A84C6699372B3C49B005C76C8862579D"/>
                        </w:placeholder>
                        <w:dataBinding w:prefixMappings="xmlns:ns0='http://purl.org/dc/elements/1.1/' xmlns:ns1='http://schemas.openxmlformats.org/package/2006/metadata/core-properties' " w:xpath="/ns1:coreProperties[1]/ns0:title[1]" w:storeItemID="{6C3C8BC8-F283-45AE-878A-BAB7291924A1}"/>
                        <w:text/>
                      </w:sdtPr>
                      <w:sdtEndPr/>
                      <w:sdtContent>
                        <w:r w:rsidR="00730B27">
                          <w:t>What's a 5E?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F46B2BC" wp14:editId="5643E5D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8DF4" w14:textId="77777777" w:rsidR="00C9404D" w:rsidRDefault="00C9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F39F1" w14:textId="77777777" w:rsidR="00257354" w:rsidRDefault="00257354" w:rsidP="00293785">
      <w:pPr>
        <w:spacing w:after="0" w:line="240" w:lineRule="auto"/>
      </w:pPr>
      <w:r>
        <w:separator/>
      </w:r>
    </w:p>
  </w:footnote>
  <w:footnote w:type="continuationSeparator" w:id="0">
    <w:p w14:paraId="4B2E057D" w14:textId="77777777" w:rsidR="00257354" w:rsidRDefault="0025735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4E35" w14:textId="77777777" w:rsidR="00167D20" w:rsidRDefault="00167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9640" w14:textId="77777777" w:rsidR="00167D20" w:rsidRDefault="00167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201C" w14:textId="77777777" w:rsidR="00167D20" w:rsidRDefault="0016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27"/>
    <w:rsid w:val="0004006F"/>
    <w:rsid w:val="00053775"/>
    <w:rsid w:val="0005619A"/>
    <w:rsid w:val="0011259B"/>
    <w:rsid w:val="00116FDD"/>
    <w:rsid w:val="00125621"/>
    <w:rsid w:val="00167D20"/>
    <w:rsid w:val="001D0BBF"/>
    <w:rsid w:val="001D7405"/>
    <w:rsid w:val="001E1F85"/>
    <w:rsid w:val="001F125D"/>
    <w:rsid w:val="002345CC"/>
    <w:rsid w:val="00257354"/>
    <w:rsid w:val="00277459"/>
    <w:rsid w:val="00293785"/>
    <w:rsid w:val="002C0879"/>
    <w:rsid w:val="002C37B4"/>
    <w:rsid w:val="0036040A"/>
    <w:rsid w:val="00446C13"/>
    <w:rsid w:val="005078B4"/>
    <w:rsid w:val="0053328A"/>
    <w:rsid w:val="00540FC6"/>
    <w:rsid w:val="005511B6"/>
    <w:rsid w:val="00553C98"/>
    <w:rsid w:val="005A795D"/>
    <w:rsid w:val="005E3E05"/>
    <w:rsid w:val="00645D7F"/>
    <w:rsid w:val="00656940"/>
    <w:rsid w:val="00665274"/>
    <w:rsid w:val="00666C03"/>
    <w:rsid w:val="00683759"/>
    <w:rsid w:val="00686DAB"/>
    <w:rsid w:val="006D2AEF"/>
    <w:rsid w:val="006E1542"/>
    <w:rsid w:val="00721EA4"/>
    <w:rsid w:val="00730B27"/>
    <w:rsid w:val="00757349"/>
    <w:rsid w:val="007B055F"/>
    <w:rsid w:val="007E6F1D"/>
    <w:rsid w:val="00880013"/>
    <w:rsid w:val="008920A4"/>
    <w:rsid w:val="008F5386"/>
    <w:rsid w:val="00901851"/>
    <w:rsid w:val="00913172"/>
    <w:rsid w:val="00981E19"/>
    <w:rsid w:val="009B52E4"/>
    <w:rsid w:val="009D6E8D"/>
    <w:rsid w:val="00A101E8"/>
    <w:rsid w:val="00A448A3"/>
    <w:rsid w:val="00AC349E"/>
    <w:rsid w:val="00B92DBF"/>
    <w:rsid w:val="00BD119F"/>
    <w:rsid w:val="00C73EA1"/>
    <w:rsid w:val="00C8524A"/>
    <w:rsid w:val="00C9404D"/>
    <w:rsid w:val="00CC4F77"/>
    <w:rsid w:val="00CD3CF6"/>
    <w:rsid w:val="00CE336D"/>
    <w:rsid w:val="00D106FF"/>
    <w:rsid w:val="00D24F5D"/>
    <w:rsid w:val="00D626EB"/>
    <w:rsid w:val="00D828E5"/>
    <w:rsid w:val="00D85BFD"/>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91B9"/>
  <w15:docId w15:val="{63CA480B-EFEF-9640-BE83-6C7F8935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7224777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4C6699372B3C49B005C76C8862579D"/>
        <w:category>
          <w:name w:val="General"/>
          <w:gallery w:val="placeholder"/>
        </w:category>
        <w:types>
          <w:type w:val="bbPlcHdr"/>
        </w:types>
        <w:behaviors>
          <w:behavior w:val="content"/>
        </w:behaviors>
        <w:guid w:val="{7E49F768-51A2-C942-8092-3F6E8DB1DD75}"/>
      </w:docPartPr>
      <w:docPartBody>
        <w:p w:rsidR="00291194" w:rsidRDefault="00B4525E">
          <w:pPr>
            <w:pStyle w:val="A84C6699372B3C49B005C76C8862579D"/>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E"/>
    <w:rsid w:val="00291194"/>
    <w:rsid w:val="00311B57"/>
    <w:rsid w:val="005B6049"/>
    <w:rsid w:val="00B4525E"/>
    <w:rsid w:val="00BC3F4F"/>
    <w:rsid w:val="00F5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4C6699372B3C49B005C76C8862579D">
    <w:name w:val="A84C6699372B3C49B005C76C88625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9B0DBE-8492-4941-875B-79D004ED080F}">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3B7E-1B30-D847-BE23-65A28ADF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a 5E?</dc:title>
  <dc:subject/>
  <dc:creator>K20 Center</dc:creator>
  <cp:keywords/>
  <dc:description/>
  <cp:lastModifiedBy>Walters, Darrin J.</cp:lastModifiedBy>
  <cp:revision>5</cp:revision>
  <cp:lastPrinted>2016-07-14T14:08:00Z</cp:lastPrinted>
  <dcterms:created xsi:type="dcterms:W3CDTF">2019-10-09T15:25:00Z</dcterms:created>
  <dcterms:modified xsi:type="dcterms:W3CDTF">2020-04-09T20:47:00Z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documentId_9106</vt:lpwstr>
  </property>
</Properties>
</file>