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W w:w="0" w:type="auto"/>
        <w:tblCellMar>
          <w:top w:w="15" w:type="dxa"/>
          <w:left w:w="15" w:type="dxa"/>
          <w:bottom w:w="15" w:type="dxa"/>
          <w:right w:w="15" w:type="dxa"/>
        </w:tblCellMar>
        <w:tblLook w:val="04A0" w:firstRow="1" w:lastRow="0" w:firstColumn="1" w:lastColumn="0" w:noHBand="0" w:noVBand="1"/>
      </w:tblPr>
      <w:tblGrid>
        <w:gridCol w:w="2972"/>
        <w:gridCol w:w="6388"/>
      </w:tblGrid>
      <w:tr w:rsidR="00587068" w:rsidRPr="00587068" w14:paraId="5CF683BC" w14:textId="77777777" w:rsidTr="00587068">
        <w:trPr>
          <w:trHeight w:val="2250"/>
        </w:trPr>
        <w:tc>
          <w:tcPr>
            <w:tcW w:w="0" w:type="auto"/>
            <w:shd w:val="clear" w:color="auto" w:fill="F3F3F3"/>
            <w:tcMar>
              <w:top w:w="100" w:type="dxa"/>
              <w:left w:w="100" w:type="dxa"/>
              <w:bottom w:w="100" w:type="dxa"/>
              <w:right w:w="100" w:type="dxa"/>
            </w:tcMar>
            <w:hideMark/>
          </w:tcPr>
          <w:p w14:paraId="070D41CF" w14:textId="77777777" w:rsidR="00587068" w:rsidRPr="00587068" w:rsidRDefault="00587068" w:rsidP="00587068">
            <w:pPr>
              <w:spacing w:after="0" w:line="240" w:lineRule="auto"/>
              <w:rPr>
                <w:rFonts w:ascii="Times New Roman" w:eastAsia="Times New Roman" w:hAnsi="Times New Roman" w:cs="Times New Roman"/>
                <w:szCs w:val="24"/>
              </w:rPr>
            </w:pPr>
            <w:r w:rsidRPr="00587068">
              <w:rPr>
                <w:rFonts w:ascii="Times New Roman" w:eastAsia="Times New Roman" w:hAnsi="Times New Roman" w:cs="Times New Roman"/>
                <w:szCs w:val="24"/>
              </w:rPr>
              <w:br/>
            </w:r>
            <w:r w:rsidRPr="00587068">
              <w:rPr>
                <w:rFonts w:ascii="Times New Roman" w:eastAsia="Times New Roman" w:hAnsi="Times New Roman" w:cs="Times New Roman"/>
                <w:noProof/>
                <w:szCs w:val="24"/>
                <w:bdr w:val="none" w:sz="0" w:space="0" w:color="auto" w:frame="1"/>
              </w:rPr>
              <w:drawing>
                <wp:inline distT="0" distB="0" distL="0" distR="0" wp14:anchorId="4A8E28F6" wp14:editId="4AC64C8B">
                  <wp:extent cx="1760220" cy="906780"/>
                  <wp:effectExtent l="0" t="0" r="0" b="7620"/>
                  <wp:docPr id="4" name="Picture 4" descr="A picture containing text, clipart, vector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clipart, vector graphics&#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60220" cy="906780"/>
                          </a:xfrm>
                          <a:prstGeom prst="rect">
                            <a:avLst/>
                          </a:prstGeom>
                          <a:noFill/>
                          <a:ln>
                            <a:noFill/>
                          </a:ln>
                        </pic:spPr>
                      </pic:pic>
                    </a:graphicData>
                  </a:graphic>
                </wp:inline>
              </w:drawing>
            </w:r>
          </w:p>
        </w:tc>
        <w:tc>
          <w:tcPr>
            <w:tcW w:w="0" w:type="auto"/>
            <w:shd w:val="clear" w:color="auto" w:fill="F3F3F3"/>
            <w:tcMar>
              <w:top w:w="100" w:type="dxa"/>
              <w:left w:w="100" w:type="dxa"/>
              <w:bottom w:w="100" w:type="dxa"/>
              <w:right w:w="100" w:type="dxa"/>
            </w:tcMar>
            <w:hideMark/>
          </w:tcPr>
          <w:p w14:paraId="22A2523B" w14:textId="77777777" w:rsidR="00587068" w:rsidRPr="00587068" w:rsidRDefault="00587068" w:rsidP="00587068">
            <w:pPr>
              <w:spacing w:before="200" w:after="0" w:line="240" w:lineRule="auto"/>
              <w:rPr>
                <w:rFonts w:ascii="Times New Roman" w:eastAsia="Times New Roman" w:hAnsi="Times New Roman" w:cs="Times New Roman"/>
                <w:szCs w:val="24"/>
              </w:rPr>
            </w:pPr>
            <w:r w:rsidRPr="00587068">
              <w:rPr>
                <w:rFonts w:ascii="Arial" w:eastAsia="Times New Roman" w:hAnsi="Arial" w:cs="Arial"/>
                <w:b/>
                <w:bCs/>
                <w:i/>
                <w:iCs/>
                <w:color w:val="3E5C61"/>
                <w:sz w:val="28"/>
                <w:szCs w:val="28"/>
              </w:rPr>
              <w:t>Why-Lighting</w:t>
            </w:r>
            <w:r w:rsidRPr="00587068">
              <w:rPr>
                <w:rFonts w:ascii="Calibri" w:eastAsia="Times New Roman" w:hAnsi="Calibri" w:cs="Calibri"/>
                <w:i/>
                <w:iCs/>
                <w:color w:val="3E5C61"/>
                <w:sz w:val="28"/>
                <w:szCs w:val="28"/>
              </w:rPr>
              <w:t> </w:t>
            </w:r>
          </w:p>
          <w:p w14:paraId="48396578" w14:textId="77777777" w:rsidR="00587068" w:rsidRPr="00587068" w:rsidRDefault="00587068" w:rsidP="00587068">
            <w:pPr>
              <w:spacing w:after="0" w:line="240" w:lineRule="auto"/>
              <w:rPr>
                <w:rFonts w:ascii="Times New Roman" w:eastAsia="Times New Roman" w:hAnsi="Times New Roman" w:cs="Times New Roman"/>
                <w:szCs w:val="24"/>
              </w:rPr>
            </w:pPr>
            <w:r w:rsidRPr="00587068">
              <w:rPr>
                <w:rFonts w:ascii="Arial" w:eastAsia="Times New Roman" w:hAnsi="Arial" w:cs="Arial"/>
                <w:i/>
                <w:iCs/>
                <w:color w:val="3E5C61"/>
                <w:sz w:val="28"/>
                <w:szCs w:val="28"/>
              </w:rPr>
              <w:t>As you read, consider what main points or pieces of information are important to you and your understanding of student-centered learning. Highlight those sections. For the sections that you highlight, add comments explaining why you did so.</w:t>
            </w:r>
            <w:r w:rsidRPr="00587068">
              <w:rPr>
                <w:rFonts w:ascii="Calibri" w:eastAsia="Times New Roman" w:hAnsi="Calibri" w:cs="Calibri"/>
                <w:i/>
                <w:iCs/>
                <w:color w:val="3E5C61"/>
                <w:sz w:val="28"/>
                <w:szCs w:val="28"/>
              </w:rPr>
              <w:br/>
            </w:r>
            <w:r w:rsidRPr="00587068">
              <w:rPr>
                <w:rFonts w:ascii="Calibri" w:eastAsia="Times New Roman" w:hAnsi="Calibri" w:cs="Calibri"/>
                <w:i/>
                <w:iCs/>
                <w:color w:val="3E5C61"/>
                <w:sz w:val="28"/>
                <w:szCs w:val="28"/>
              </w:rPr>
              <w:br/>
            </w:r>
          </w:p>
        </w:tc>
      </w:tr>
    </w:tbl>
    <w:p w14:paraId="7828A6A6" w14:textId="77777777" w:rsidR="00587068" w:rsidRPr="00587068" w:rsidRDefault="00587068" w:rsidP="00587068">
      <w:pPr>
        <w:spacing w:after="240" w:line="240" w:lineRule="auto"/>
        <w:rPr>
          <w:rFonts w:ascii="Times New Roman" w:eastAsia="Times New Roman" w:hAnsi="Times New Roman" w:cs="Times New Roman"/>
          <w:szCs w:val="24"/>
        </w:rPr>
      </w:pPr>
      <w:r w:rsidRPr="00587068">
        <w:rPr>
          <w:rFonts w:ascii="Calibri" w:eastAsia="Times New Roman" w:hAnsi="Calibri" w:cs="Calibri"/>
          <w:b/>
          <w:bCs/>
          <w:smallCaps/>
          <w:color w:val="000000"/>
          <w:sz w:val="36"/>
          <w:szCs w:val="36"/>
        </w:rPr>
        <w:t xml:space="preserve"> </w:t>
      </w:r>
    </w:p>
    <w:p w14:paraId="5E2559EE" w14:textId="71B8E9A2" w:rsidR="00587068" w:rsidRDefault="00587068" w:rsidP="00DC7A6D">
      <w:pPr>
        <w:pStyle w:val="Title"/>
      </w:pPr>
      <w:r>
        <w:rPr>
          <w:rFonts w:ascii="Calibri" w:hAnsi="Calibri" w:cs="Calibri"/>
          <w:b w:val="0"/>
          <w:bCs/>
          <w:smallCaps/>
          <w:noProof/>
          <w:color w:val="000000"/>
          <w:sz w:val="36"/>
          <w:szCs w:val="36"/>
          <w:bdr w:val="none" w:sz="0" w:space="0" w:color="auto" w:frame="1"/>
        </w:rPr>
        <w:drawing>
          <wp:inline distT="0" distB="0" distL="0" distR="0" wp14:anchorId="758425D6" wp14:editId="69AC7FDF">
            <wp:extent cx="1295400" cy="731520"/>
            <wp:effectExtent l="0" t="0" r="0" b="0"/>
            <wp:docPr id="1" name="Picture 1" descr="A screenshot of a comput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computer&#10;&#10;Description automatically generated with low confidenc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95400" cy="731520"/>
                    </a:xfrm>
                    <a:prstGeom prst="rect">
                      <a:avLst/>
                    </a:prstGeom>
                    <a:noFill/>
                    <a:ln>
                      <a:noFill/>
                    </a:ln>
                  </pic:spPr>
                </pic:pic>
              </a:graphicData>
            </a:graphic>
          </wp:inline>
        </w:drawing>
      </w:r>
      <w:r w:rsidR="00B24947">
        <w:t>Student-centered learning</w:t>
      </w:r>
    </w:p>
    <w:p w14:paraId="5DE7D32D" w14:textId="17BA381A" w:rsidR="00B24947" w:rsidRDefault="00B24947" w:rsidP="00B24947">
      <w:pPr>
        <w:rPr>
          <w:rFonts w:ascii="Arial" w:hAnsi="Arial" w:cs="Arial"/>
          <w:i/>
          <w:iCs/>
          <w:color w:val="3E5C61"/>
          <w:sz w:val="28"/>
          <w:szCs w:val="28"/>
        </w:rPr>
      </w:pPr>
      <w:r>
        <w:rPr>
          <w:rFonts w:ascii="Arial" w:hAnsi="Arial" w:cs="Arial"/>
          <w:i/>
          <w:iCs/>
          <w:color w:val="3E5C61"/>
          <w:sz w:val="28"/>
          <w:szCs w:val="28"/>
        </w:rPr>
        <w:t>“</w:t>
      </w:r>
      <w:proofErr w:type="gramStart"/>
      <w:r>
        <w:rPr>
          <w:rFonts w:ascii="Arial" w:hAnsi="Arial" w:cs="Arial"/>
          <w:i/>
          <w:iCs/>
          <w:color w:val="3E5C61"/>
          <w:sz w:val="28"/>
          <w:szCs w:val="28"/>
        </w:rPr>
        <w:t>Tell</w:t>
      </w:r>
      <w:proofErr w:type="gramEnd"/>
      <w:r>
        <w:rPr>
          <w:rFonts w:ascii="Arial" w:hAnsi="Arial" w:cs="Arial"/>
          <w:i/>
          <w:iCs/>
          <w:color w:val="3E5C61"/>
          <w:sz w:val="28"/>
          <w:szCs w:val="28"/>
        </w:rPr>
        <w:t xml:space="preserve"> me and I forget. Show me and I remember. Involve me and I understand.” —Chinese proverb</w:t>
      </w:r>
    </w:p>
    <w:p w14:paraId="593ACF3C" w14:textId="77777777" w:rsidR="00B24947" w:rsidRPr="00B24947" w:rsidRDefault="00B24947" w:rsidP="00B24947">
      <w:pPr>
        <w:pStyle w:val="BodyText"/>
      </w:pPr>
      <w:r w:rsidRPr="00B24947">
        <w:t>Student-centered learning focuses on shared control of learning environments. Students are actively engaged in multiple aspects of their learning that have traditionally fallen under the teacher’s role (</w:t>
      </w:r>
      <w:proofErr w:type="spellStart"/>
      <w:r w:rsidRPr="00B24947">
        <w:t>Newmann</w:t>
      </w:r>
      <w:proofErr w:type="spellEnd"/>
      <w:r w:rsidRPr="00B24947">
        <w:t xml:space="preserve"> et al., 1995). In learning environments like these, students’ voices and choices are central to their learning experiences. Assessments, formative or summative, can increase student-centered learning when students have the opportunity to choose how to demonstrate knowledge and understanding of complex concepts. Additionally, students reflect on their learning and evaluate their own and others’ solutions or ideas (</w:t>
      </w:r>
      <w:proofErr w:type="spellStart"/>
      <w:r w:rsidRPr="00B24947">
        <w:t>Newmann</w:t>
      </w:r>
      <w:proofErr w:type="spellEnd"/>
      <w:r w:rsidRPr="00B24947">
        <w:t xml:space="preserve"> et al., 2007). </w:t>
      </w:r>
    </w:p>
    <w:p w14:paraId="402D11C1" w14:textId="77777777" w:rsidR="00B24947" w:rsidRPr="00B24947" w:rsidRDefault="00B24947" w:rsidP="00B24947">
      <w:pPr>
        <w:pStyle w:val="BodyText"/>
      </w:pPr>
      <w:r w:rsidRPr="00B24947">
        <w:t>School cultures and classroom environments should be considered when creating student-centered learning experiences. According to some scholars, teachers play a critical role in successful implementation of authentic classroom practices (</w:t>
      </w:r>
      <w:proofErr w:type="spellStart"/>
      <w:r w:rsidRPr="00B24947">
        <w:t>Boaler</w:t>
      </w:r>
      <w:proofErr w:type="spellEnd"/>
      <w:r w:rsidRPr="00B24947">
        <w:t xml:space="preserve">, 2016; Darling-Hammond, 2000; Dennis &amp; O’Hair, 2010; Sanders &amp; Rivers, 1996). Teachers’ relationships both with students and with their content areas contribute to fostering learning environments where students can construct meaning for themselves and teachers guide students in inquiry-based learning and connecting learning outside of classroom settings. Because of the importance placed on relationships, respect, and classroom culture, authentic teaching and learning should not be separated from these factors. </w:t>
      </w:r>
    </w:p>
    <w:p w14:paraId="5E06F0EB" w14:textId="77777777" w:rsidR="00B24947" w:rsidRPr="00B24947" w:rsidRDefault="00B24947" w:rsidP="00B24947">
      <w:pPr>
        <w:pStyle w:val="BodyText"/>
      </w:pPr>
    </w:p>
    <w:p w14:paraId="17B969B8" w14:textId="6468F413" w:rsidR="00587068" w:rsidRDefault="00587068" w:rsidP="00DC7A6D">
      <w:pPr>
        <w:pStyle w:val="Title"/>
      </w:pPr>
    </w:p>
    <w:p w14:paraId="296878D6" w14:textId="27F06DDB" w:rsidR="00B24947" w:rsidRDefault="00B24947" w:rsidP="00B24947"/>
    <w:p w14:paraId="3BBE8D7D" w14:textId="77777777" w:rsidR="00B24947" w:rsidRPr="00AC3646" w:rsidRDefault="00B24947" w:rsidP="00B24947">
      <w:pPr>
        <w:pStyle w:val="NormalWeb"/>
        <w:spacing w:before="60" w:beforeAutospacing="0" w:after="0" w:afterAutospacing="0"/>
        <w:rPr>
          <w:rFonts w:asciiTheme="minorHAnsi" w:hAnsiTheme="minorHAnsi" w:cstheme="minorHAnsi"/>
          <w:color w:val="3E5C61" w:themeColor="accent6"/>
          <w:sz w:val="28"/>
          <w:szCs w:val="28"/>
        </w:rPr>
      </w:pPr>
      <w:r w:rsidRPr="00AC3646">
        <w:rPr>
          <w:rFonts w:asciiTheme="minorHAnsi" w:hAnsiTheme="minorHAnsi" w:cstheme="minorHAnsi"/>
          <w:color w:val="3E5C61" w:themeColor="accent6"/>
          <w:sz w:val="18"/>
          <w:szCs w:val="18"/>
        </w:rPr>
        <w:lastRenderedPageBreak/>
        <w:t>Sources:</w:t>
      </w:r>
    </w:p>
    <w:p w14:paraId="1846BE5E" w14:textId="77777777" w:rsidR="00B24947" w:rsidRPr="00AC3646" w:rsidRDefault="00B24947" w:rsidP="00B24947">
      <w:pPr>
        <w:pStyle w:val="NormalWeb"/>
        <w:spacing w:before="60" w:beforeAutospacing="0" w:after="0" w:afterAutospacing="0"/>
        <w:rPr>
          <w:rFonts w:asciiTheme="minorHAnsi" w:hAnsiTheme="minorHAnsi" w:cstheme="minorHAnsi"/>
          <w:color w:val="3E5C61" w:themeColor="accent6"/>
          <w:sz w:val="28"/>
          <w:szCs w:val="28"/>
        </w:rPr>
      </w:pPr>
      <w:r w:rsidRPr="00AC3646">
        <w:rPr>
          <w:rFonts w:asciiTheme="minorHAnsi" w:hAnsiTheme="minorHAnsi" w:cstheme="minorHAnsi"/>
          <w:color w:val="3E5C61" w:themeColor="accent6"/>
          <w:sz w:val="18"/>
          <w:szCs w:val="18"/>
        </w:rPr>
        <w:t xml:space="preserve">Bowen, R. S.  (2017). </w:t>
      </w:r>
      <w:r w:rsidRPr="00AC3646">
        <w:rPr>
          <w:rFonts w:asciiTheme="minorHAnsi" w:hAnsiTheme="minorHAnsi" w:cstheme="minorHAnsi"/>
          <w:i/>
          <w:iCs/>
          <w:color w:val="3E5C61" w:themeColor="accent6"/>
          <w:sz w:val="18"/>
          <w:szCs w:val="18"/>
        </w:rPr>
        <w:t>Understanding by design.</w:t>
      </w:r>
      <w:r w:rsidRPr="00AC3646">
        <w:rPr>
          <w:rFonts w:asciiTheme="minorHAnsi" w:hAnsiTheme="minorHAnsi" w:cstheme="minorHAnsi"/>
          <w:color w:val="3E5C61" w:themeColor="accent6"/>
          <w:sz w:val="18"/>
          <w:szCs w:val="18"/>
        </w:rPr>
        <w:t xml:space="preserve"> Vanderbilt University Center for Teaching. </w:t>
      </w:r>
      <w:r w:rsidRPr="00AC3646">
        <w:rPr>
          <w:rStyle w:val="apple-tab-span"/>
          <w:rFonts w:asciiTheme="minorHAnsi" w:hAnsiTheme="minorHAnsi" w:cstheme="minorHAnsi"/>
          <w:color w:val="3E5C61" w:themeColor="accent6"/>
          <w:sz w:val="18"/>
          <w:szCs w:val="18"/>
        </w:rPr>
        <w:tab/>
      </w:r>
      <w:r w:rsidRPr="00AC3646">
        <w:rPr>
          <w:rFonts w:asciiTheme="minorHAnsi" w:hAnsiTheme="minorHAnsi" w:cstheme="minorHAnsi"/>
          <w:color w:val="3E5C61" w:themeColor="accent6"/>
          <w:sz w:val="18"/>
          <w:szCs w:val="18"/>
        </w:rPr>
        <w:t>https://cft.vanderbilt.edu/understanding-by-design/</w:t>
      </w:r>
    </w:p>
    <w:p w14:paraId="6D01DA56" w14:textId="77777777" w:rsidR="00B24947" w:rsidRPr="00AC3646" w:rsidRDefault="00B24947" w:rsidP="00B24947">
      <w:pPr>
        <w:pStyle w:val="NormalWeb"/>
        <w:spacing w:before="60" w:beforeAutospacing="0" w:after="0" w:afterAutospacing="0"/>
        <w:rPr>
          <w:rFonts w:asciiTheme="minorHAnsi" w:hAnsiTheme="minorHAnsi" w:cstheme="minorHAnsi"/>
          <w:color w:val="3E5C61" w:themeColor="accent6"/>
          <w:sz w:val="28"/>
          <w:szCs w:val="28"/>
        </w:rPr>
      </w:pPr>
      <w:r w:rsidRPr="00AC3646">
        <w:rPr>
          <w:rFonts w:asciiTheme="minorHAnsi" w:hAnsiTheme="minorHAnsi" w:cstheme="minorHAnsi"/>
          <w:color w:val="3E5C61" w:themeColor="accent6"/>
          <w:sz w:val="18"/>
          <w:szCs w:val="18"/>
        </w:rPr>
        <w:t> </w:t>
      </w:r>
    </w:p>
    <w:p w14:paraId="7B220C4D" w14:textId="77777777" w:rsidR="00B24947" w:rsidRPr="00AC3646" w:rsidRDefault="00B24947" w:rsidP="00B24947">
      <w:pPr>
        <w:pStyle w:val="NormalWeb"/>
        <w:spacing w:before="60" w:beforeAutospacing="0" w:after="0" w:afterAutospacing="0"/>
        <w:rPr>
          <w:rFonts w:asciiTheme="minorHAnsi" w:hAnsiTheme="minorHAnsi" w:cstheme="minorHAnsi"/>
          <w:color w:val="3E5C61" w:themeColor="accent6"/>
          <w:sz w:val="28"/>
          <w:szCs w:val="28"/>
        </w:rPr>
      </w:pPr>
      <w:r w:rsidRPr="00AC3646">
        <w:rPr>
          <w:rFonts w:asciiTheme="minorHAnsi" w:hAnsiTheme="minorHAnsi" w:cstheme="minorHAnsi"/>
          <w:color w:val="3E5C61" w:themeColor="accent6"/>
          <w:sz w:val="18"/>
          <w:szCs w:val="18"/>
        </w:rPr>
        <w:t xml:space="preserve">Chiu, M. M. (2008). Flowing toward correct contributions during group problem solving: A statistical discourse analysis. </w:t>
      </w:r>
      <w:r w:rsidRPr="00AC3646">
        <w:rPr>
          <w:rFonts w:asciiTheme="minorHAnsi" w:hAnsiTheme="minorHAnsi" w:cstheme="minorHAnsi"/>
          <w:i/>
          <w:iCs/>
          <w:color w:val="3E5C61" w:themeColor="accent6"/>
          <w:sz w:val="18"/>
          <w:szCs w:val="18"/>
        </w:rPr>
        <w:t>Journal of the Learning Sciences</w:t>
      </w:r>
      <w:r w:rsidRPr="00AC3646">
        <w:rPr>
          <w:rFonts w:asciiTheme="minorHAnsi" w:hAnsiTheme="minorHAnsi" w:cstheme="minorHAnsi"/>
          <w:color w:val="3E5C61" w:themeColor="accent6"/>
          <w:sz w:val="18"/>
          <w:szCs w:val="18"/>
        </w:rPr>
        <w:t>, 17(3), 415</w:t>
      </w:r>
      <w:r w:rsidRPr="00AC3646">
        <w:rPr>
          <w:rFonts w:asciiTheme="minorHAnsi" w:hAnsiTheme="minorHAnsi" w:cstheme="minorHAnsi"/>
          <w:color w:val="3E5C61" w:themeColor="accent6"/>
          <w:sz w:val="18"/>
          <w:szCs w:val="18"/>
        </w:rPr>
        <w:softHyphen/>
        <w:t>–463.</w:t>
      </w:r>
    </w:p>
    <w:p w14:paraId="643ED7F0" w14:textId="77777777" w:rsidR="00B24947" w:rsidRPr="00AC3646" w:rsidRDefault="00B24947" w:rsidP="00B24947">
      <w:pPr>
        <w:pStyle w:val="NormalWeb"/>
        <w:spacing w:before="60" w:beforeAutospacing="0" w:after="0" w:afterAutospacing="0"/>
        <w:rPr>
          <w:rFonts w:asciiTheme="minorHAnsi" w:hAnsiTheme="minorHAnsi" w:cstheme="minorHAnsi"/>
          <w:color w:val="3E5C61" w:themeColor="accent6"/>
          <w:sz w:val="28"/>
          <w:szCs w:val="28"/>
        </w:rPr>
      </w:pPr>
      <w:r w:rsidRPr="00AC3646">
        <w:rPr>
          <w:rFonts w:asciiTheme="minorHAnsi" w:hAnsiTheme="minorHAnsi" w:cstheme="minorHAnsi"/>
          <w:color w:val="3E5C61" w:themeColor="accent6"/>
          <w:sz w:val="18"/>
          <w:szCs w:val="18"/>
        </w:rPr>
        <w:t> </w:t>
      </w:r>
    </w:p>
    <w:p w14:paraId="59EEF6AA" w14:textId="77777777" w:rsidR="00B24947" w:rsidRPr="00AC3646" w:rsidRDefault="00B24947" w:rsidP="00B24947">
      <w:pPr>
        <w:pStyle w:val="NormalWeb"/>
        <w:spacing w:before="60" w:beforeAutospacing="0" w:after="0" w:afterAutospacing="0"/>
        <w:rPr>
          <w:rFonts w:asciiTheme="minorHAnsi" w:hAnsiTheme="minorHAnsi" w:cstheme="minorHAnsi"/>
          <w:color w:val="3E5C61" w:themeColor="accent6"/>
          <w:sz w:val="28"/>
          <w:szCs w:val="28"/>
        </w:rPr>
      </w:pPr>
      <w:r w:rsidRPr="00AC3646">
        <w:rPr>
          <w:rFonts w:asciiTheme="minorHAnsi" w:hAnsiTheme="minorHAnsi" w:cstheme="minorHAnsi"/>
          <w:color w:val="3E5C61" w:themeColor="accent6"/>
          <w:sz w:val="18"/>
          <w:szCs w:val="18"/>
        </w:rPr>
        <w:t xml:space="preserve">Gibbs, J., Bell, L., &amp; Ronzone, P.  (2006). </w:t>
      </w:r>
      <w:r w:rsidRPr="00AC3646">
        <w:rPr>
          <w:rFonts w:asciiTheme="minorHAnsi" w:hAnsiTheme="minorHAnsi" w:cstheme="minorHAnsi"/>
          <w:i/>
          <w:iCs/>
          <w:color w:val="3E5C61" w:themeColor="accent6"/>
          <w:sz w:val="18"/>
          <w:szCs w:val="18"/>
        </w:rPr>
        <w:t>Reaching all by creating tribes learning communit</w:t>
      </w:r>
      <w:r w:rsidRPr="00AC3646">
        <w:rPr>
          <w:rFonts w:asciiTheme="minorHAnsi" w:hAnsiTheme="minorHAnsi" w:cstheme="minorHAnsi"/>
          <w:color w:val="3E5C61" w:themeColor="accent6"/>
          <w:sz w:val="18"/>
          <w:szCs w:val="18"/>
        </w:rPr>
        <w:t xml:space="preserve">ies. </w:t>
      </w:r>
      <w:proofErr w:type="spellStart"/>
      <w:r w:rsidRPr="00AC3646">
        <w:rPr>
          <w:rFonts w:asciiTheme="minorHAnsi" w:hAnsiTheme="minorHAnsi" w:cstheme="minorHAnsi"/>
          <w:color w:val="3E5C61" w:themeColor="accent6"/>
          <w:sz w:val="18"/>
          <w:szCs w:val="18"/>
        </w:rPr>
        <w:t>CenterSource</w:t>
      </w:r>
      <w:proofErr w:type="spellEnd"/>
      <w:r w:rsidRPr="00AC3646">
        <w:rPr>
          <w:rFonts w:asciiTheme="minorHAnsi" w:hAnsiTheme="minorHAnsi" w:cstheme="minorHAnsi"/>
          <w:color w:val="3E5C61" w:themeColor="accent6"/>
          <w:sz w:val="18"/>
          <w:szCs w:val="18"/>
        </w:rPr>
        <w:t xml:space="preserve"> Systems.</w:t>
      </w:r>
    </w:p>
    <w:p w14:paraId="3F79C7DA" w14:textId="77777777" w:rsidR="00B24947" w:rsidRPr="00AC3646" w:rsidRDefault="00B24947" w:rsidP="00B24947">
      <w:pPr>
        <w:pStyle w:val="NormalWeb"/>
        <w:spacing w:before="60" w:beforeAutospacing="0" w:after="0" w:afterAutospacing="0"/>
        <w:rPr>
          <w:rFonts w:asciiTheme="minorHAnsi" w:hAnsiTheme="minorHAnsi" w:cstheme="minorHAnsi"/>
          <w:color w:val="3E5C61" w:themeColor="accent6"/>
          <w:sz w:val="28"/>
          <w:szCs w:val="28"/>
        </w:rPr>
      </w:pPr>
      <w:r w:rsidRPr="00AC3646">
        <w:rPr>
          <w:rFonts w:asciiTheme="minorHAnsi" w:hAnsiTheme="minorHAnsi" w:cstheme="minorHAnsi"/>
          <w:color w:val="3E5C61" w:themeColor="accent6"/>
          <w:sz w:val="18"/>
          <w:szCs w:val="18"/>
        </w:rPr>
        <w:t> </w:t>
      </w:r>
    </w:p>
    <w:p w14:paraId="3DF4C5D8" w14:textId="77777777" w:rsidR="00B24947" w:rsidRPr="00AC3646" w:rsidRDefault="00B24947" w:rsidP="00B24947">
      <w:pPr>
        <w:pStyle w:val="NormalWeb"/>
        <w:spacing w:before="60" w:beforeAutospacing="0" w:after="0" w:afterAutospacing="0"/>
        <w:rPr>
          <w:rFonts w:asciiTheme="minorHAnsi" w:hAnsiTheme="minorHAnsi" w:cstheme="minorHAnsi"/>
          <w:color w:val="3E5C61" w:themeColor="accent6"/>
          <w:sz w:val="28"/>
          <w:szCs w:val="28"/>
        </w:rPr>
      </w:pPr>
      <w:r w:rsidRPr="00AC3646">
        <w:rPr>
          <w:rFonts w:asciiTheme="minorHAnsi" w:hAnsiTheme="minorHAnsi" w:cstheme="minorHAnsi"/>
          <w:color w:val="3E5C61" w:themeColor="accent6"/>
          <w:sz w:val="18"/>
          <w:szCs w:val="18"/>
        </w:rPr>
        <w:t xml:space="preserve">Gillies, R. (2016). Cooperative learning: Review of research and practice. </w:t>
      </w:r>
      <w:r w:rsidRPr="00AC3646">
        <w:rPr>
          <w:rFonts w:asciiTheme="minorHAnsi" w:hAnsiTheme="minorHAnsi" w:cstheme="minorHAnsi"/>
          <w:i/>
          <w:iCs/>
          <w:color w:val="3E5C61" w:themeColor="accent6"/>
          <w:sz w:val="18"/>
          <w:szCs w:val="18"/>
        </w:rPr>
        <w:t>Australian Journal of Teacher Education</w:t>
      </w:r>
      <w:r w:rsidRPr="00AC3646">
        <w:rPr>
          <w:rFonts w:asciiTheme="minorHAnsi" w:hAnsiTheme="minorHAnsi" w:cstheme="minorHAnsi"/>
          <w:color w:val="3E5C61" w:themeColor="accent6"/>
          <w:sz w:val="18"/>
          <w:szCs w:val="18"/>
        </w:rPr>
        <w:t>, 41(3), 39–54. doi:10.14221/ajte.2016v41n3.3</w:t>
      </w:r>
    </w:p>
    <w:p w14:paraId="7256CC87" w14:textId="77777777" w:rsidR="00B24947" w:rsidRPr="00AC3646" w:rsidRDefault="00B24947" w:rsidP="00B24947">
      <w:pPr>
        <w:pStyle w:val="NormalWeb"/>
        <w:spacing w:before="60" w:beforeAutospacing="0" w:after="0" w:afterAutospacing="0"/>
        <w:rPr>
          <w:rFonts w:asciiTheme="minorHAnsi" w:hAnsiTheme="minorHAnsi" w:cstheme="minorHAnsi"/>
          <w:color w:val="3E5C61" w:themeColor="accent6"/>
          <w:sz w:val="28"/>
          <w:szCs w:val="28"/>
        </w:rPr>
      </w:pPr>
      <w:r w:rsidRPr="00AC3646">
        <w:rPr>
          <w:rFonts w:asciiTheme="minorHAnsi" w:hAnsiTheme="minorHAnsi" w:cstheme="minorHAnsi"/>
          <w:color w:val="3E5C61" w:themeColor="accent6"/>
          <w:sz w:val="18"/>
          <w:szCs w:val="18"/>
        </w:rPr>
        <w:t> </w:t>
      </w:r>
    </w:p>
    <w:p w14:paraId="06F147D0" w14:textId="458AE7A0" w:rsidR="00B24947" w:rsidRPr="00AC3646" w:rsidRDefault="00B24947" w:rsidP="00B24947">
      <w:pPr>
        <w:pStyle w:val="NormalWeb"/>
        <w:spacing w:before="60" w:beforeAutospacing="0" w:after="0" w:afterAutospacing="0"/>
        <w:rPr>
          <w:rFonts w:asciiTheme="minorHAnsi" w:hAnsiTheme="minorHAnsi" w:cstheme="minorHAnsi"/>
          <w:color w:val="3E5C61" w:themeColor="accent6"/>
          <w:sz w:val="28"/>
          <w:szCs w:val="28"/>
        </w:rPr>
      </w:pPr>
      <w:r w:rsidRPr="00AC3646">
        <w:rPr>
          <w:rFonts w:asciiTheme="minorHAnsi" w:hAnsiTheme="minorHAnsi" w:cstheme="minorHAnsi"/>
          <w:color w:val="3E5C61" w:themeColor="accent6"/>
          <w:sz w:val="18"/>
          <w:szCs w:val="18"/>
        </w:rPr>
        <w:t xml:space="preserve">Huber, R. B., &amp; Snider, A. (2006). </w:t>
      </w:r>
      <w:r w:rsidRPr="00AC3646">
        <w:rPr>
          <w:rFonts w:asciiTheme="minorHAnsi" w:hAnsiTheme="minorHAnsi" w:cstheme="minorHAnsi"/>
          <w:i/>
          <w:iCs/>
          <w:color w:val="3E5C61" w:themeColor="accent6"/>
          <w:sz w:val="18"/>
          <w:szCs w:val="18"/>
        </w:rPr>
        <w:t>Influencing through argument</w:t>
      </w:r>
      <w:r w:rsidRPr="00AC3646">
        <w:rPr>
          <w:rFonts w:asciiTheme="minorHAnsi" w:hAnsiTheme="minorHAnsi" w:cstheme="minorHAnsi"/>
          <w:color w:val="3E5C61" w:themeColor="accent6"/>
          <w:sz w:val="18"/>
          <w:szCs w:val="18"/>
        </w:rPr>
        <w:t>. New York: International Debate Education Association.</w:t>
      </w:r>
    </w:p>
    <w:p w14:paraId="715CB846" w14:textId="77777777" w:rsidR="00B24947" w:rsidRPr="00AC3646" w:rsidRDefault="00B24947" w:rsidP="00B24947">
      <w:pPr>
        <w:pStyle w:val="NormalWeb"/>
        <w:spacing w:before="60" w:beforeAutospacing="0" w:after="0" w:afterAutospacing="0"/>
        <w:rPr>
          <w:rFonts w:asciiTheme="minorHAnsi" w:hAnsiTheme="minorHAnsi" w:cstheme="minorHAnsi"/>
          <w:color w:val="3E5C61" w:themeColor="accent6"/>
          <w:sz w:val="28"/>
          <w:szCs w:val="28"/>
        </w:rPr>
      </w:pPr>
      <w:r w:rsidRPr="00AC3646">
        <w:rPr>
          <w:rFonts w:asciiTheme="minorHAnsi" w:hAnsiTheme="minorHAnsi" w:cstheme="minorHAnsi"/>
          <w:color w:val="3E5C61" w:themeColor="accent6"/>
          <w:sz w:val="18"/>
          <w:szCs w:val="18"/>
        </w:rPr>
        <w:t> </w:t>
      </w:r>
    </w:p>
    <w:p w14:paraId="0D163ABC" w14:textId="7CE4B213" w:rsidR="00B24947" w:rsidRPr="00AC3646" w:rsidRDefault="00B24947" w:rsidP="00B24947">
      <w:pPr>
        <w:pStyle w:val="NormalWeb"/>
        <w:spacing w:before="60" w:beforeAutospacing="0" w:after="0" w:afterAutospacing="0"/>
        <w:rPr>
          <w:rFonts w:asciiTheme="minorHAnsi" w:hAnsiTheme="minorHAnsi" w:cstheme="minorHAnsi"/>
          <w:color w:val="3E5C61" w:themeColor="accent6"/>
          <w:sz w:val="28"/>
          <w:szCs w:val="28"/>
        </w:rPr>
      </w:pPr>
      <w:r w:rsidRPr="00AC3646">
        <w:rPr>
          <w:rFonts w:asciiTheme="minorHAnsi" w:hAnsiTheme="minorHAnsi" w:cstheme="minorHAnsi"/>
          <w:color w:val="3E5C61" w:themeColor="accent6"/>
          <w:sz w:val="18"/>
          <w:szCs w:val="18"/>
        </w:rPr>
        <w:t xml:space="preserve">Johnson, D. W., &amp; Johnson, R. T. (2009). Energizing learning: The instructional power of conflict. </w:t>
      </w:r>
      <w:r w:rsidRPr="00AC3646">
        <w:rPr>
          <w:rFonts w:asciiTheme="minorHAnsi" w:hAnsiTheme="minorHAnsi" w:cstheme="minorHAnsi"/>
          <w:i/>
          <w:iCs/>
          <w:color w:val="3E5C61" w:themeColor="accent6"/>
          <w:sz w:val="18"/>
          <w:szCs w:val="18"/>
        </w:rPr>
        <w:t>Educational Researcher</w:t>
      </w:r>
      <w:r w:rsidRPr="00AC3646">
        <w:rPr>
          <w:rFonts w:asciiTheme="minorHAnsi" w:hAnsiTheme="minorHAnsi" w:cstheme="minorHAnsi"/>
          <w:color w:val="3E5C61" w:themeColor="accent6"/>
          <w:sz w:val="18"/>
          <w:szCs w:val="18"/>
        </w:rPr>
        <w:t>, 38(1), 37-51. doi:10.3102/0013189x08330540</w:t>
      </w:r>
    </w:p>
    <w:p w14:paraId="28D807F4" w14:textId="77777777" w:rsidR="00B24947" w:rsidRPr="00AC3646" w:rsidRDefault="00B24947" w:rsidP="00B24947">
      <w:pPr>
        <w:pStyle w:val="NormalWeb"/>
        <w:spacing w:before="60" w:beforeAutospacing="0" w:after="0" w:afterAutospacing="0"/>
        <w:rPr>
          <w:rFonts w:asciiTheme="minorHAnsi" w:hAnsiTheme="minorHAnsi" w:cstheme="minorHAnsi"/>
          <w:color w:val="3E5C61" w:themeColor="accent6"/>
          <w:sz w:val="28"/>
          <w:szCs w:val="28"/>
        </w:rPr>
      </w:pPr>
      <w:r w:rsidRPr="00AC3646">
        <w:rPr>
          <w:rFonts w:asciiTheme="minorHAnsi" w:hAnsiTheme="minorHAnsi" w:cstheme="minorHAnsi"/>
          <w:color w:val="3E5C61" w:themeColor="accent6"/>
          <w:sz w:val="18"/>
          <w:szCs w:val="18"/>
        </w:rPr>
        <w:t> </w:t>
      </w:r>
    </w:p>
    <w:p w14:paraId="02B5E453" w14:textId="77777777" w:rsidR="00B24947" w:rsidRPr="00AC3646" w:rsidRDefault="00B24947" w:rsidP="00B24947">
      <w:pPr>
        <w:pStyle w:val="NormalWeb"/>
        <w:spacing w:before="60" w:beforeAutospacing="0" w:after="0" w:afterAutospacing="0"/>
        <w:rPr>
          <w:rFonts w:asciiTheme="minorHAnsi" w:hAnsiTheme="minorHAnsi" w:cstheme="minorHAnsi"/>
          <w:color w:val="3E5C61" w:themeColor="accent6"/>
          <w:sz w:val="28"/>
          <w:szCs w:val="28"/>
        </w:rPr>
      </w:pPr>
      <w:r w:rsidRPr="00AC3646">
        <w:rPr>
          <w:rFonts w:asciiTheme="minorHAnsi" w:hAnsiTheme="minorHAnsi" w:cstheme="minorHAnsi"/>
          <w:color w:val="3E5C61" w:themeColor="accent6"/>
          <w:sz w:val="18"/>
          <w:szCs w:val="18"/>
        </w:rPr>
        <w:t xml:space="preserve">Johnson, D. W., &amp; Johnson, R. T. (2009). An educational psychology success story: Social </w:t>
      </w:r>
      <w:r w:rsidRPr="00AC3646">
        <w:rPr>
          <w:rStyle w:val="apple-tab-span"/>
          <w:rFonts w:asciiTheme="minorHAnsi" w:hAnsiTheme="minorHAnsi" w:cstheme="minorHAnsi"/>
          <w:color w:val="3E5C61" w:themeColor="accent6"/>
          <w:sz w:val="18"/>
          <w:szCs w:val="18"/>
        </w:rPr>
        <w:tab/>
      </w:r>
      <w:r w:rsidRPr="00AC3646">
        <w:rPr>
          <w:rFonts w:asciiTheme="minorHAnsi" w:hAnsiTheme="minorHAnsi" w:cstheme="minorHAnsi"/>
          <w:color w:val="3E5C61" w:themeColor="accent6"/>
          <w:sz w:val="18"/>
          <w:szCs w:val="18"/>
        </w:rPr>
        <w:t xml:space="preserve">interdependence theory and cooperative learning. </w:t>
      </w:r>
      <w:r w:rsidRPr="00AC3646">
        <w:rPr>
          <w:rFonts w:asciiTheme="minorHAnsi" w:hAnsiTheme="minorHAnsi" w:cstheme="minorHAnsi"/>
          <w:i/>
          <w:iCs/>
          <w:color w:val="3E5C61" w:themeColor="accent6"/>
          <w:sz w:val="18"/>
          <w:szCs w:val="18"/>
        </w:rPr>
        <w:t>Educational Researcher</w:t>
      </w:r>
      <w:r w:rsidRPr="00AC3646">
        <w:rPr>
          <w:rFonts w:asciiTheme="minorHAnsi" w:hAnsiTheme="minorHAnsi" w:cstheme="minorHAnsi"/>
          <w:color w:val="3E5C61" w:themeColor="accent6"/>
          <w:sz w:val="18"/>
          <w:szCs w:val="18"/>
        </w:rPr>
        <w:t xml:space="preserve">,38(5), 365–379. </w:t>
      </w:r>
      <w:r w:rsidRPr="00AC3646">
        <w:rPr>
          <w:rStyle w:val="apple-tab-span"/>
          <w:rFonts w:asciiTheme="minorHAnsi" w:hAnsiTheme="minorHAnsi" w:cstheme="minorHAnsi"/>
          <w:color w:val="3E5C61" w:themeColor="accent6"/>
          <w:sz w:val="18"/>
          <w:szCs w:val="18"/>
        </w:rPr>
        <w:tab/>
      </w:r>
      <w:r w:rsidRPr="00AC3646">
        <w:rPr>
          <w:rFonts w:asciiTheme="minorHAnsi" w:hAnsiTheme="minorHAnsi" w:cstheme="minorHAnsi"/>
          <w:color w:val="3E5C61" w:themeColor="accent6"/>
          <w:sz w:val="18"/>
          <w:szCs w:val="18"/>
        </w:rPr>
        <w:t>doi:10.3102/0013189x09339057</w:t>
      </w:r>
    </w:p>
    <w:p w14:paraId="1704FEF9" w14:textId="77777777" w:rsidR="00B24947" w:rsidRPr="00AC3646" w:rsidRDefault="00B24947" w:rsidP="00B24947">
      <w:pPr>
        <w:pStyle w:val="NormalWeb"/>
        <w:spacing w:before="60" w:beforeAutospacing="0" w:after="0" w:afterAutospacing="0"/>
        <w:rPr>
          <w:rFonts w:asciiTheme="minorHAnsi" w:hAnsiTheme="minorHAnsi" w:cstheme="minorHAnsi"/>
          <w:color w:val="3E5C61" w:themeColor="accent6"/>
          <w:sz w:val="28"/>
          <w:szCs w:val="28"/>
        </w:rPr>
      </w:pPr>
      <w:r w:rsidRPr="00AC3646">
        <w:rPr>
          <w:rFonts w:asciiTheme="minorHAnsi" w:hAnsiTheme="minorHAnsi" w:cstheme="minorHAnsi"/>
          <w:color w:val="3E5C61" w:themeColor="accent6"/>
          <w:sz w:val="18"/>
          <w:szCs w:val="18"/>
        </w:rPr>
        <w:t> </w:t>
      </w:r>
    </w:p>
    <w:p w14:paraId="35B6607D" w14:textId="77777777" w:rsidR="00B24947" w:rsidRPr="00AC3646" w:rsidRDefault="00B24947" w:rsidP="00B24947">
      <w:pPr>
        <w:pStyle w:val="NormalWeb"/>
        <w:spacing w:before="60" w:beforeAutospacing="0" w:after="0" w:afterAutospacing="0"/>
        <w:rPr>
          <w:rFonts w:asciiTheme="minorHAnsi" w:hAnsiTheme="minorHAnsi" w:cstheme="minorHAnsi"/>
          <w:color w:val="3E5C61" w:themeColor="accent6"/>
          <w:sz w:val="28"/>
          <w:szCs w:val="28"/>
        </w:rPr>
      </w:pPr>
      <w:proofErr w:type="spellStart"/>
      <w:r w:rsidRPr="00AC3646">
        <w:rPr>
          <w:rFonts w:asciiTheme="minorHAnsi" w:hAnsiTheme="minorHAnsi" w:cstheme="minorHAnsi"/>
          <w:color w:val="3E5C61" w:themeColor="accent6"/>
          <w:sz w:val="18"/>
          <w:szCs w:val="18"/>
        </w:rPr>
        <w:t>Kukral</w:t>
      </w:r>
      <w:proofErr w:type="spellEnd"/>
      <w:r w:rsidRPr="00AC3646">
        <w:rPr>
          <w:rFonts w:asciiTheme="minorHAnsi" w:hAnsiTheme="minorHAnsi" w:cstheme="minorHAnsi"/>
          <w:color w:val="3E5C61" w:themeColor="accent6"/>
          <w:sz w:val="18"/>
          <w:szCs w:val="18"/>
        </w:rPr>
        <w:t>, N., &amp; Spector, S. (2012). Authentic to the core. Leadership, 41(5), 8–10.</w:t>
      </w:r>
    </w:p>
    <w:p w14:paraId="30A07793" w14:textId="77777777" w:rsidR="00B24947" w:rsidRPr="00AC3646" w:rsidRDefault="00B24947" w:rsidP="00B24947">
      <w:pPr>
        <w:pStyle w:val="NormalWeb"/>
        <w:spacing w:before="60" w:beforeAutospacing="0" w:after="0" w:afterAutospacing="0"/>
        <w:rPr>
          <w:rFonts w:asciiTheme="minorHAnsi" w:hAnsiTheme="minorHAnsi" w:cstheme="minorHAnsi"/>
          <w:color w:val="3E5C61" w:themeColor="accent6"/>
          <w:sz w:val="28"/>
          <w:szCs w:val="28"/>
        </w:rPr>
      </w:pPr>
      <w:r w:rsidRPr="00AC3646">
        <w:rPr>
          <w:rFonts w:asciiTheme="minorHAnsi" w:hAnsiTheme="minorHAnsi" w:cstheme="minorHAnsi"/>
          <w:color w:val="3E5C61" w:themeColor="accent6"/>
          <w:sz w:val="18"/>
          <w:szCs w:val="18"/>
        </w:rPr>
        <w:t> </w:t>
      </w:r>
    </w:p>
    <w:p w14:paraId="171805EA" w14:textId="77777777" w:rsidR="00B24947" w:rsidRPr="00AC3646" w:rsidRDefault="00B24947" w:rsidP="00B24947">
      <w:pPr>
        <w:pStyle w:val="NormalWeb"/>
        <w:spacing w:before="60" w:beforeAutospacing="0" w:after="0" w:afterAutospacing="0"/>
        <w:rPr>
          <w:rFonts w:asciiTheme="minorHAnsi" w:hAnsiTheme="minorHAnsi" w:cstheme="minorHAnsi"/>
          <w:color w:val="3E5C61" w:themeColor="accent6"/>
          <w:sz w:val="28"/>
          <w:szCs w:val="28"/>
        </w:rPr>
      </w:pPr>
      <w:proofErr w:type="spellStart"/>
      <w:r w:rsidRPr="00AC3646">
        <w:rPr>
          <w:rFonts w:asciiTheme="minorHAnsi" w:hAnsiTheme="minorHAnsi" w:cstheme="minorHAnsi"/>
          <w:color w:val="3E5C61" w:themeColor="accent6"/>
          <w:sz w:val="18"/>
          <w:szCs w:val="18"/>
        </w:rPr>
        <w:t>Lillydahl</w:t>
      </w:r>
      <w:proofErr w:type="spellEnd"/>
      <w:r w:rsidRPr="00AC3646">
        <w:rPr>
          <w:rFonts w:asciiTheme="minorHAnsi" w:hAnsiTheme="minorHAnsi" w:cstheme="minorHAnsi"/>
          <w:color w:val="3E5C61" w:themeColor="accent6"/>
          <w:sz w:val="18"/>
          <w:szCs w:val="18"/>
        </w:rPr>
        <w:t xml:space="preserve">, D. (2015) Questioning </w:t>
      </w:r>
      <w:proofErr w:type="spellStart"/>
      <w:r w:rsidRPr="00AC3646">
        <w:rPr>
          <w:rFonts w:asciiTheme="minorHAnsi" w:hAnsiTheme="minorHAnsi" w:cstheme="minorHAnsi"/>
          <w:color w:val="3E5C61" w:themeColor="accent6"/>
          <w:sz w:val="18"/>
          <w:szCs w:val="18"/>
        </w:rPr>
        <w:t>Questioning</w:t>
      </w:r>
      <w:proofErr w:type="spellEnd"/>
      <w:r w:rsidRPr="00AC3646">
        <w:rPr>
          <w:rFonts w:asciiTheme="minorHAnsi" w:hAnsiTheme="minorHAnsi" w:cstheme="minorHAnsi"/>
          <w:color w:val="3E5C61" w:themeColor="accent6"/>
          <w:sz w:val="18"/>
          <w:szCs w:val="18"/>
        </w:rPr>
        <w:t xml:space="preserve">: Essential Questions in English Classrooms. </w:t>
      </w:r>
      <w:r w:rsidRPr="00AC3646">
        <w:rPr>
          <w:rFonts w:asciiTheme="minorHAnsi" w:hAnsiTheme="minorHAnsi" w:cstheme="minorHAnsi"/>
          <w:i/>
          <w:iCs/>
          <w:color w:val="3E5C61" w:themeColor="accent6"/>
          <w:sz w:val="18"/>
          <w:szCs w:val="18"/>
        </w:rPr>
        <w:t>The English Journal,</w:t>
      </w:r>
      <w:r w:rsidRPr="00AC3646">
        <w:rPr>
          <w:rFonts w:asciiTheme="minorHAnsi" w:hAnsiTheme="minorHAnsi" w:cstheme="minorHAnsi"/>
          <w:color w:val="3E5C61" w:themeColor="accent6"/>
          <w:sz w:val="18"/>
          <w:szCs w:val="18"/>
        </w:rPr>
        <w:t xml:space="preserve"> (104)6, (July 2015), pp. 36-39</w:t>
      </w:r>
    </w:p>
    <w:p w14:paraId="0FA7AEBD" w14:textId="77777777" w:rsidR="00B24947" w:rsidRPr="00AC3646" w:rsidRDefault="00B24947" w:rsidP="00B24947">
      <w:pPr>
        <w:pStyle w:val="NormalWeb"/>
        <w:spacing w:before="60" w:beforeAutospacing="0" w:after="0" w:afterAutospacing="0"/>
        <w:rPr>
          <w:rFonts w:asciiTheme="minorHAnsi" w:hAnsiTheme="minorHAnsi" w:cstheme="minorHAnsi"/>
          <w:color w:val="3E5C61" w:themeColor="accent6"/>
          <w:sz w:val="28"/>
          <w:szCs w:val="28"/>
        </w:rPr>
      </w:pPr>
      <w:r w:rsidRPr="00AC3646">
        <w:rPr>
          <w:rFonts w:asciiTheme="minorHAnsi" w:hAnsiTheme="minorHAnsi" w:cstheme="minorHAnsi"/>
          <w:color w:val="3E5C61" w:themeColor="accent6"/>
          <w:sz w:val="18"/>
          <w:szCs w:val="18"/>
        </w:rPr>
        <w:t> </w:t>
      </w:r>
    </w:p>
    <w:p w14:paraId="2EE73C23" w14:textId="77777777" w:rsidR="00B24947" w:rsidRPr="00AC3646" w:rsidRDefault="00B24947" w:rsidP="00B24947">
      <w:pPr>
        <w:pStyle w:val="NormalWeb"/>
        <w:spacing w:before="60" w:beforeAutospacing="0" w:after="0" w:afterAutospacing="0"/>
        <w:rPr>
          <w:rFonts w:asciiTheme="minorHAnsi" w:hAnsiTheme="minorHAnsi" w:cstheme="minorHAnsi"/>
          <w:color w:val="3E5C61" w:themeColor="accent6"/>
          <w:sz w:val="28"/>
          <w:szCs w:val="28"/>
        </w:rPr>
      </w:pPr>
      <w:r w:rsidRPr="00AC3646">
        <w:rPr>
          <w:rFonts w:asciiTheme="minorHAnsi" w:hAnsiTheme="minorHAnsi" w:cstheme="minorHAnsi"/>
          <w:color w:val="3E5C61" w:themeColor="accent6"/>
          <w:sz w:val="18"/>
          <w:szCs w:val="18"/>
        </w:rPr>
        <w:t>McTighe, J., &amp; Wiggins, G. (2013). Essential questions: Opening doors to student understanding. ASCD.</w:t>
      </w:r>
    </w:p>
    <w:p w14:paraId="77FADC62" w14:textId="77777777" w:rsidR="00B24947" w:rsidRPr="00AC3646" w:rsidRDefault="00B24947" w:rsidP="00B24947">
      <w:pPr>
        <w:pStyle w:val="NormalWeb"/>
        <w:spacing w:before="60" w:beforeAutospacing="0" w:after="0" w:afterAutospacing="0"/>
        <w:rPr>
          <w:rFonts w:asciiTheme="minorHAnsi" w:hAnsiTheme="minorHAnsi" w:cstheme="minorHAnsi"/>
          <w:color w:val="3E5C61" w:themeColor="accent6"/>
          <w:sz w:val="28"/>
          <w:szCs w:val="28"/>
        </w:rPr>
      </w:pPr>
      <w:r w:rsidRPr="00AC3646">
        <w:rPr>
          <w:rFonts w:asciiTheme="minorHAnsi" w:hAnsiTheme="minorHAnsi" w:cstheme="minorHAnsi"/>
          <w:color w:val="3E5C61" w:themeColor="accent6"/>
          <w:sz w:val="18"/>
          <w:szCs w:val="18"/>
        </w:rPr>
        <w:t> </w:t>
      </w:r>
    </w:p>
    <w:p w14:paraId="6DE59B5A" w14:textId="77777777" w:rsidR="00B24947" w:rsidRPr="00AC3646" w:rsidRDefault="00B24947" w:rsidP="00B24947">
      <w:pPr>
        <w:pStyle w:val="NormalWeb"/>
        <w:spacing w:before="60" w:beforeAutospacing="0" w:after="0" w:afterAutospacing="0"/>
        <w:rPr>
          <w:rFonts w:asciiTheme="minorHAnsi" w:hAnsiTheme="minorHAnsi" w:cstheme="minorHAnsi"/>
          <w:color w:val="3E5C61" w:themeColor="accent6"/>
          <w:sz w:val="28"/>
          <w:szCs w:val="28"/>
        </w:rPr>
      </w:pPr>
      <w:r w:rsidRPr="00AC3646">
        <w:rPr>
          <w:rFonts w:asciiTheme="minorHAnsi" w:hAnsiTheme="minorHAnsi" w:cstheme="minorHAnsi"/>
          <w:color w:val="3E5C61" w:themeColor="accent6"/>
          <w:sz w:val="18"/>
          <w:szCs w:val="18"/>
        </w:rPr>
        <w:t xml:space="preserve">Nemeth, C., &amp; </w:t>
      </w:r>
      <w:proofErr w:type="spellStart"/>
      <w:r w:rsidRPr="00AC3646">
        <w:rPr>
          <w:rFonts w:asciiTheme="minorHAnsi" w:hAnsiTheme="minorHAnsi" w:cstheme="minorHAnsi"/>
          <w:color w:val="3E5C61" w:themeColor="accent6"/>
          <w:sz w:val="18"/>
          <w:szCs w:val="18"/>
        </w:rPr>
        <w:t>Wachtler</w:t>
      </w:r>
      <w:proofErr w:type="spellEnd"/>
      <w:r w:rsidRPr="00AC3646">
        <w:rPr>
          <w:rFonts w:asciiTheme="minorHAnsi" w:hAnsiTheme="minorHAnsi" w:cstheme="minorHAnsi"/>
          <w:color w:val="3E5C61" w:themeColor="accent6"/>
          <w:sz w:val="18"/>
          <w:szCs w:val="18"/>
        </w:rPr>
        <w:t xml:space="preserve">, J. (1983). Creative problem solving as a result of majority vs minority influence. </w:t>
      </w:r>
      <w:r w:rsidRPr="00AC3646">
        <w:rPr>
          <w:rFonts w:asciiTheme="minorHAnsi" w:hAnsiTheme="minorHAnsi" w:cstheme="minorHAnsi"/>
          <w:i/>
          <w:iCs/>
          <w:color w:val="3E5C61" w:themeColor="accent6"/>
          <w:sz w:val="18"/>
          <w:szCs w:val="18"/>
        </w:rPr>
        <w:t>European Journal of Social Psychology</w:t>
      </w:r>
      <w:r w:rsidRPr="00AC3646">
        <w:rPr>
          <w:rFonts w:asciiTheme="minorHAnsi" w:hAnsiTheme="minorHAnsi" w:cstheme="minorHAnsi"/>
          <w:color w:val="3E5C61" w:themeColor="accent6"/>
          <w:sz w:val="18"/>
          <w:szCs w:val="18"/>
        </w:rPr>
        <w:t>, 13(1), 45–55.</w:t>
      </w:r>
    </w:p>
    <w:p w14:paraId="1C85C05C" w14:textId="77777777" w:rsidR="00B24947" w:rsidRPr="00AC3646" w:rsidRDefault="00B24947" w:rsidP="00B24947">
      <w:pPr>
        <w:pStyle w:val="NormalWeb"/>
        <w:spacing w:before="60" w:beforeAutospacing="0" w:after="0" w:afterAutospacing="0"/>
        <w:rPr>
          <w:rFonts w:asciiTheme="minorHAnsi" w:hAnsiTheme="minorHAnsi" w:cstheme="minorHAnsi"/>
          <w:color w:val="3E5C61" w:themeColor="accent6"/>
          <w:sz w:val="28"/>
          <w:szCs w:val="28"/>
        </w:rPr>
      </w:pPr>
      <w:r w:rsidRPr="00AC3646">
        <w:rPr>
          <w:rFonts w:asciiTheme="minorHAnsi" w:hAnsiTheme="minorHAnsi" w:cstheme="minorHAnsi"/>
          <w:color w:val="3E5C61" w:themeColor="accent6"/>
          <w:sz w:val="18"/>
          <w:szCs w:val="18"/>
        </w:rPr>
        <w:t> </w:t>
      </w:r>
    </w:p>
    <w:p w14:paraId="52315C38" w14:textId="77777777" w:rsidR="00B24947" w:rsidRPr="00AC3646" w:rsidRDefault="00B24947" w:rsidP="00B24947">
      <w:pPr>
        <w:pStyle w:val="NormalWeb"/>
        <w:spacing w:before="60" w:beforeAutospacing="0" w:after="0" w:afterAutospacing="0"/>
        <w:rPr>
          <w:rFonts w:asciiTheme="minorHAnsi" w:hAnsiTheme="minorHAnsi" w:cstheme="minorHAnsi"/>
          <w:color w:val="3E5C61" w:themeColor="accent6"/>
          <w:sz w:val="28"/>
          <w:szCs w:val="28"/>
        </w:rPr>
      </w:pPr>
      <w:proofErr w:type="spellStart"/>
      <w:r w:rsidRPr="00AC3646">
        <w:rPr>
          <w:rFonts w:asciiTheme="minorHAnsi" w:hAnsiTheme="minorHAnsi" w:cstheme="minorHAnsi"/>
          <w:color w:val="3E5C61" w:themeColor="accent6"/>
          <w:sz w:val="18"/>
          <w:szCs w:val="18"/>
        </w:rPr>
        <w:t>Newmann</w:t>
      </w:r>
      <w:proofErr w:type="spellEnd"/>
      <w:r w:rsidRPr="00AC3646">
        <w:rPr>
          <w:rFonts w:asciiTheme="minorHAnsi" w:hAnsiTheme="minorHAnsi" w:cstheme="minorHAnsi"/>
          <w:color w:val="3E5C61" w:themeColor="accent6"/>
          <w:sz w:val="18"/>
          <w:szCs w:val="18"/>
        </w:rPr>
        <w:t>, F. M., Bryk, A., &amp; Nagaoka, J. (2001). Authentic Intellectual Work and Standardized Tests: Conflict or Coexistence? Improving Chicago Schools, 1–41.</w:t>
      </w:r>
    </w:p>
    <w:p w14:paraId="4AAB9F2B" w14:textId="77777777" w:rsidR="00B24947" w:rsidRPr="00AC3646" w:rsidRDefault="00B24947" w:rsidP="00B24947">
      <w:pPr>
        <w:pStyle w:val="NormalWeb"/>
        <w:spacing w:before="60" w:beforeAutospacing="0" w:after="0" w:afterAutospacing="0"/>
        <w:rPr>
          <w:rFonts w:asciiTheme="minorHAnsi" w:hAnsiTheme="minorHAnsi" w:cstheme="minorHAnsi"/>
          <w:color w:val="3E5C61" w:themeColor="accent6"/>
          <w:sz w:val="28"/>
          <w:szCs w:val="28"/>
        </w:rPr>
      </w:pPr>
      <w:r w:rsidRPr="00AC3646">
        <w:rPr>
          <w:rFonts w:asciiTheme="minorHAnsi" w:hAnsiTheme="minorHAnsi" w:cstheme="minorHAnsi"/>
          <w:color w:val="3E5C61" w:themeColor="accent6"/>
          <w:sz w:val="18"/>
          <w:szCs w:val="18"/>
        </w:rPr>
        <w:t> </w:t>
      </w:r>
    </w:p>
    <w:p w14:paraId="350611C2" w14:textId="77777777" w:rsidR="00B24947" w:rsidRPr="00AC3646" w:rsidRDefault="00B24947" w:rsidP="00B24947">
      <w:pPr>
        <w:pStyle w:val="NormalWeb"/>
        <w:spacing w:before="60" w:beforeAutospacing="0" w:after="0" w:afterAutospacing="0"/>
        <w:rPr>
          <w:rFonts w:asciiTheme="minorHAnsi" w:hAnsiTheme="minorHAnsi" w:cstheme="minorHAnsi"/>
          <w:color w:val="3E5C61" w:themeColor="accent6"/>
          <w:sz w:val="28"/>
          <w:szCs w:val="28"/>
        </w:rPr>
      </w:pPr>
      <w:proofErr w:type="spellStart"/>
      <w:r w:rsidRPr="00AC3646">
        <w:rPr>
          <w:rFonts w:asciiTheme="minorHAnsi" w:hAnsiTheme="minorHAnsi" w:cstheme="minorHAnsi"/>
          <w:color w:val="3E5C61" w:themeColor="accent6"/>
          <w:sz w:val="18"/>
          <w:szCs w:val="18"/>
        </w:rPr>
        <w:t>Newmann</w:t>
      </w:r>
      <w:proofErr w:type="spellEnd"/>
      <w:r w:rsidRPr="00AC3646">
        <w:rPr>
          <w:rFonts w:asciiTheme="minorHAnsi" w:hAnsiTheme="minorHAnsi" w:cstheme="minorHAnsi"/>
          <w:color w:val="3E5C61" w:themeColor="accent6"/>
          <w:sz w:val="18"/>
          <w:szCs w:val="18"/>
        </w:rPr>
        <w:t xml:space="preserve">, F. M., Marks, H. M., &amp; Gamoran, A. (1996). Authentic Pedagogy and Student Performance. </w:t>
      </w:r>
      <w:r w:rsidRPr="00AC3646">
        <w:rPr>
          <w:rFonts w:asciiTheme="minorHAnsi" w:hAnsiTheme="minorHAnsi" w:cstheme="minorHAnsi"/>
          <w:i/>
          <w:iCs/>
          <w:color w:val="3E5C61" w:themeColor="accent6"/>
          <w:sz w:val="18"/>
          <w:szCs w:val="18"/>
        </w:rPr>
        <w:t>American Journal of Education</w:t>
      </w:r>
      <w:r w:rsidRPr="00AC3646">
        <w:rPr>
          <w:rFonts w:asciiTheme="minorHAnsi" w:hAnsiTheme="minorHAnsi" w:cstheme="minorHAnsi"/>
          <w:color w:val="3E5C61" w:themeColor="accent6"/>
          <w:sz w:val="18"/>
          <w:szCs w:val="18"/>
        </w:rPr>
        <w:t>, 104(4), 280–312.</w:t>
      </w:r>
    </w:p>
    <w:p w14:paraId="44E410D9" w14:textId="77777777" w:rsidR="00B24947" w:rsidRPr="00AC3646" w:rsidRDefault="00B24947" w:rsidP="00B24947">
      <w:pPr>
        <w:pStyle w:val="NormalWeb"/>
        <w:spacing w:before="60" w:beforeAutospacing="0" w:after="0" w:afterAutospacing="0"/>
        <w:rPr>
          <w:rFonts w:asciiTheme="minorHAnsi" w:hAnsiTheme="minorHAnsi" w:cstheme="minorHAnsi"/>
          <w:color w:val="3E5C61" w:themeColor="accent6"/>
          <w:sz w:val="28"/>
          <w:szCs w:val="28"/>
        </w:rPr>
      </w:pPr>
      <w:r w:rsidRPr="00AC3646">
        <w:rPr>
          <w:rFonts w:asciiTheme="minorHAnsi" w:hAnsiTheme="minorHAnsi" w:cstheme="minorHAnsi"/>
          <w:color w:val="3E5C61" w:themeColor="accent6"/>
          <w:sz w:val="18"/>
          <w:szCs w:val="18"/>
        </w:rPr>
        <w:t> </w:t>
      </w:r>
    </w:p>
    <w:p w14:paraId="7C6738B5" w14:textId="77777777" w:rsidR="00B24947" w:rsidRPr="00AC3646" w:rsidRDefault="00B24947" w:rsidP="00B24947">
      <w:pPr>
        <w:pStyle w:val="NormalWeb"/>
        <w:spacing w:before="60" w:beforeAutospacing="0" w:after="0" w:afterAutospacing="0"/>
        <w:rPr>
          <w:rFonts w:asciiTheme="minorHAnsi" w:hAnsiTheme="minorHAnsi" w:cstheme="minorHAnsi"/>
          <w:color w:val="3E5C61" w:themeColor="accent6"/>
          <w:sz w:val="28"/>
          <w:szCs w:val="28"/>
        </w:rPr>
      </w:pPr>
      <w:proofErr w:type="spellStart"/>
      <w:r w:rsidRPr="00AC3646">
        <w:rPr>
          <w:rFonts w:asciiTheme="minorHAnsi" w:hAnsiTheme="minorHAnsi" w:cstheme="minorHAnsi"/>
          <w:color w:val="3E5C61" w:themeColor="accent6"/>
          <w:sz w:val="18"/>
          <w:szCs w:val="18"/>
        </w:rPr>
        <w:t>Newmann</w:t>
      </w:r>
      <w:proofErr w:type="spellEnd"/>
      <w:r w:rsidRPr="00AC3646">
        <w:rPr>
          <w:rFonts w:asciiTheme="minorHAnsi" w:hAnsiTheme="minorHAnsi" w:cstheme="minorHAnsi"/>
          <w:color w:val="3E5C61" w:themeColor="accent6"/>
          <w:sz w:val="18"/>
          <w:szCs w:val="18"/>
        </w:rPr>
        <w:t xml:space="preserve">, F. M., &amp; </w:t>
      </w:r>
      <w:proofErr w:type="spellStart"/>
      <w:r w:rsidRPr="00AC3646">
        <w:rPr>
          <w:rFonts w:asciiTheme="minorHAnsi" w:hAnsiTheme="minorHAnsi" w:cstheme="minorHAnsi"/>
          <w:color w:val="3E5C61" w:themeColor="accent6"/>
          <w:sz w:val="18"/>
          <w:szCs w:val="18"/>
        </w:rPr>
        <w:t>Wehlage</w:t>
      </w:r>
      <w:proofErr w:type="spellEnd"/>
      <w:r w:rsidRPr="00AC3646">
        <w:rPr>
          <w:rFonts w:asciiTheme="minorHAnsi" w:hAnsiTheme="minorHAnsi" w:cstheme="minorHAnsi"/>
          <w:color w:val="3E5C61" w:themeColor="accent6"/>
          <w:sz w:val="18"/>
          <w:szCs w:val="18"/>
        </w:rPr>
        <w:t xml:space="preserve">, G. G. (1993). Five standards of authentic instruction. </w:t>
      </w:r>
      <w:r w:rsidRPr="00AC3646">
        <w:rPr>
          <w:rFonts w:asciiTheme="minorHAnsi" w:hAnsiTheme="minorHAnsi" w:cstheme="minorHAnsi"/>
          <w:i/>
          <w:iCs/>
          <w:color w:val="3E5C61" w:themeColor="accent6"/>
          <w:sz w:val="18"/>
          <w:szCs w:val="18"/>
        </w:rPr>
        <w:t>Educational Leadership</w:t>
      </w:r>
      <w:r w:rsidRPr="00AC3646">
        <w:rPr>
          <w:rFonts w:asciiTheme="minorHAnsi" w:hAnsiTheme="minorHAnsi" w:cstheme="minorHAnsi"/>
          <w:color w:val="3E5C61" w:themeColor="accent6"/>
          <w:sz w:val="18"/>
          <w:szCs w:val="18"/>
        </w:rPr>
        <w:t>, 50(7), 8–12.</w:t>
      </w:r>
    </w:p>
    <w:p w14:paraId="1EF77CD4" w14:textId="77777777" w:rsidR="00B24947" w:rsidRPr="00AC3646" w:rsidRDefault="00B24947" w:rsidP="00B24947">
      <w:pPr>
        <w:pStyle w:val="NormalWeb"/>
        <w:spacing w:before="60" w:beforeAutospacing="0" w:after="0" w:afterAutospacing="0"/>
        <w:rPr>
          <w:rFonts w:asciiTheme="minorHAnsi" w:hAnsiTheme="minorHAnsi" w:cstheme="minorHAnsi"/>
          <w:color w:val="3E5C61" w:themeColor="accent6"/>
          <w:sz w:val="28"/>
          <w:szCs w:val="28"/>
        </w:rPr>
      </w:pPr>
      <w:r w:rsidRPr="00AC3646">
        <w:rPr>
          <w:rFonts w:asciiTheme="minorHAnsi" w:hAnsiTheme="minorHAnsi" w:cstheme="minorHAnsi"/>
          <w:color w:val="3E5C61" w:themeColor="accent6"/>
          <w:sz w:val="18"/>
          <w:szCs w:val="18"/>
        </w:rPr>
        <w:t> </w:t>
      </w:r>
    </w:p>
    <w:p w14:paraId="177C9B46" w14:textId="77777777" w:rsidR="00B24947" w:rsidRPr="00AC3646" w:rsidRDefault="00B24947" w:rsidP="00B24947">
      <w:pPr>
        <w:pStyle w:val="NormalWeb"/>
        <w:spacing w:before="60" w:beforeAutospacing="0" w:after="0" w:afterAutospacing="0"/>
        <w:rPr>
          <w:rFonts w:asciiTheme="minorHAnsi" w:hAnsiTheme="minorHAnsi" w:cstheme="minorHAnsi"/>
          <w:color w:val="3E5C61" w:themeColor="accent6"/>
          <w:sz w:val="28"/>
          <w:szCs w:val="28"/>
        </w:rPr>
      </w:pPr>
      <w:r w:rsidRPr="00AC3646">
        <w:rPr>
          <w:rFonts w:asciiTheme="minorHAnsi" w:hAnsiTheme="minorHAnsi" w:cstheme="minorHAnsi"/>
          <w:color w:val="3E5C61" w:themeColor="accent6"/>
          <w:sz w:val="18"/>
          <w:szCs w:val="18"/>
        </w:rPr>
        <w:t xml:space="preserve">Rule, A. (2006). The components of authentic learning. </w:t>
      </w:r>
      <w:r w:rsidRPr="00AC3646">
        <w:rPr>
          <w:rFonts w:asciiTheme="minorHAnsi" w:hAnsiTheme="minorHAnsi" w:cstheme="minorHAnsi"/>
          <w:i/>
          <w:iCs/>
          <w:color w:val="3E5C61" w:themeColor="accent6"/>
          <w:sz w:val="18"/>
          <w:szCs w:val="18"/>
        </w:rPr>
        <w:t>Journal of Authentic Learning,</w:t>
      </w:r>
      <w:r w:rsidRPr="00AC3646">
        <w:rPr>
          <w:rFonts w:asciiTheme="minorHAnsi" w:hAnsiTheme="minorHAnsi" w:cstheme="minorHAnsi"/>
          <w:color w:val="3E5C61" w:themeColor="accent6"/>
          <w:sz w:val="18"/>
          <w:szCs w:val="18"/>
        </w:rPr>
        <w:t xml:space="preserve"> 3(1), 1–10.</w:t>
      </w:r>
    </w:p>
    <w:p w14:paraId="225D8022" w14:textId="77777777" w:rsidR="00B24947" w:rsidRPr="00AC3646" w:rsidRDefault="00B24947" w:rsidP="00B24947">
      <w:pPr>
        <w:pStyle w:val="NormalWeb"/>
        <w:spacing w:before="60" w:beforeAutospacing="0" w:after="0" w:afterAutospacing="0"/>
        <w:rPr>
          <w:rFonts w:asciiTheme="minorHAnsi" w:hAnsiTheme="minorHAnsi" w:cstheme="minorHAnsi"/>
          <w:color w:val="3E5C61" w:themeColor="accent6"/>
          <w:sz w:val="28"/>
          <w:szCs w:val="28"/>
        </w:rPr>
      </w:pPr>
      <w:r w:rsidRPr="00AC3646">
        <w:rPr>
          <w:rFonts w:asciiTheme="minorHAnsi" w:hAnsiTheme="minorHAnsi" w:cstheme="minorHAnsi"/>
          <w:color w:val="3E5C61" w:themeColor="accent6"/>
          <w:sz w:val="18"/>
          <w:szCs w:val="18"/>
        </w:rPr>
        <w:t> </w:t>
      </w:r>
    </w:p>
    <w:p w14:paraId="78095890" w14:textId="77777777" w:rsidR="00B24947" w:rsidRPr="00AC3646" w:rsidRDefault="00B24947" w:rsidP="00B24947">
      <w:pPr>
        <w:pStyle w:val="NormalWeb"/>
        <w:spacing w:before="60" w:beforeAutospacing="0" w:after="0" w:afterAutospacing="0"/>
        <w:rPr>
          <w:rFonts w:asciiTheme="minorHAnsi" w:hAnsiTheme="minorHAnsi" w:cstheme="minorHAnsi"/>
          <w:color w:val="3E5C61" w:themeColor="accent6"/>
          <w:sz w:val="28"/>
          <w:szCs w:val="28"/>
        </w:rPr>
      </w:pPr>
      <w:r w:rsidRPr="00AC3646">
        <w:rPr>
          <w:rFonts w:asciiTheme="minorHAnsi" w:hAnsiTheme="minorHAnsi" w:cstheme="minorHAnsi"/>
          <w:color w:val="3E5C61" w:themeColor="accent6"/>
          <w:sz w:val="18"/>
          <w:szCs w:val="18"/>
        </w:rPr>
        <w:t>Sharan, Y. (2010). Cooperative learning for academic and social gains: Valued pedagogy, problematic practice. European Journal of Education, 45(2), 300–313. doi:10.1111/j.1465-3435.2010.01430</w:t>
      </w:r>
    </w:p>
    <w:p w14:paraId="19977FB4" w14:textId="77777777" w:rsidR="00B24947" w:rsidRPr="00AC3646" w:rsidRDefault="00B24947" w:rsidP="00B24947">
      <w:pPr>
        <w:pStyle w:val="NormalWeb"/>
        <w:spacing w:before="60" w:beforeAutospacing="0" w:after="0" w:afterAutospacing="0"/>
        <w:rPr>
          <w:rFonts w:asciiTheme="minorHAnsi" w:hAnsiTheme="minorHAnsi" w:cstheme="minorHAnsi"/>
          <w:color w:val="3E5C61" w:themeColor="accent6"/>
          <w:sz w:val="28"/>
          <w:szCs w:val="28"/>
        </w:rPr>
      </w:pPr>
      <w:r w:rsidRPr="00AC3646">
        <w:rPr>
          <w:rFonts w:asciiTheme="minorHAnsi" w:hAnsiTheme="minorHAnsi" w:cstheme="minorHAnsi"/>
          <w:color w:val="3E5C61" w:themeColor="accent6"/>
          <w:sz w:val="18"/>
          <w:szCs w:val="18"/>
        </w:rPr>
        <w:t> </w:t>
      </w:r>
    </w:p>
    <w:p w14:paraId="640AEBBD" w14:textId="77777777" w:rsidR="00B24947" w:rsidRPr="00AC3646" w:rsidRDefault="00B24947" w:rsidP="00B24947">
      <w:pPr>
        <w:pStyle w:val="NormalWeb"/>
        <w:spacing w:before="60" w:beforeAutospacing="0" w:after="0" w:afterAutospacing="0"/>
        <w:rPr>
          <w:rFonts w:asciiTheme="minorHAnsi" w:hAnsiTheme="minorHAnsi" w:cstheme="minorHAnsi"/>
          <w:color w:val="3E5C61" w:themeColor="accent6"/>
          <w:sz w:val="28"/>
          <w:szCs w:val="28"/>
        </w:rPr>
      </w:pPr>
      <w:r w:rsidRPr="00AC3646">
        <w:rPr>
          <w:rFonts w:asciiTheme="minorHAnsi" w:hAnsiTheme="minorHAnsi" w:cstheme="minorHAnsi"/>
          <w:color w:val="3E5C61" w:themeColor="accent6"/>
          <w:sz w:val="18"/>
          <w:szCs w:val="18"/>
        </w:rPr>
        <w:t xml:space="preserve">Wilhelm, Jeffrey D. (2012). Essential questions. </w:t>
      </w:r>
      <w:r w:rsidRPr="00AC3646">
        <w:rPr>
          <w:rFonts w:asciiTheme="minorHAnsi" w:hAnsiTheme="minorHAnsi" w:cstheme="minorHAnsi"/>
          <w:i/>
          <w:iCs/>
          <w:color w:val="3E5C61" w:themeColor="accent6"/>
          <w:sz w:val="18"/>
          <w:szCs w:val="18"/>
        </w:rPr>
        <w:t>Instructor</w:t>
      </w:r>
      <w:r w:rsidRPr="00AC3646">
        <w:rPr>
          <w:rFonts w:asciiTheme="minorHAnsi" w:hAnsiTheme="minorHAnsi" w:cstheme="minorHAnsi"/>
          <w:color w:val="3E5C61" w:themeColor="accent6"/>
          <w:sz w:val="18"/>
          <w:szCs w:val="18"/>
        </w:rPr>
        <w:t>, 122(3), 24–27.</w:t>
      </w:r>
    </w:p>
    <w:p w14:paraId="12029937" w14:textId="77777777" w:rsidR="00B24947" w:rsidRPr="00AC3646" w:rsidRDefault="00B24947" w:rsidP="00B24947">
      <w:pPr>
        <w:pStyle w:val="NormalWeb"/>
        <w:spacing w:before="60" w:beforeAutospacing="0" w:after="0" w:afterAutospacing="0"/>
        <w:rPr>
          <w:rFonts w:asciiTheme="minorHAnsi" w:hAnsiTheme="minorHAnsi" w:cstheme="minorHAnsi"/>
          <w:color w:val="3E5C61" w:themeColor="accent6"/>
          <w:sz w:val="28"/>
          <w:szCs w:val="28"/>
        </w:rPr>
      </w:pPr>
      <w:r w:rsidRPr="00AC3646">
        <w:rPr>
          <w:rFonts w:asciiTheme="minorHAnsi" w:hAnsiTheme="minorHAnsi" w:cstheme="minorHAnsi"/>
          <w:color w:val="3E5C61" w:themeColor="accent6"/>
          <w:sz w:val="18"/>
          <w:szCs w:val="18"/>
        </w:rPr>
        <w:t> </w:t>
      </w:r>
    </w:p>
    <w:p w14:paraId="08BC8782" w14:textId="77777777" w:rsidR="00B24947" w:rsidRPr="00AC3646" w:rsidRDefault="00B24947" w:rsidP="00B24947">
      <w:pPr>
        <w:pStyle w:val="NormalWeb"/>
        <w:spacing w:before="60" w:beforeAutospacing="0" w:after="0" w:afterAutospacing="0"/>
        <w:rPr>
          <w:rFonts w:asciiTheme="minorHAnsi" w:hAnsiTheme="minorHAnsi" w:cstheme="minorHAnsi"/>
          <w:color w:val="3E5C61" w:themeColor="accent6"/>
          <w:sz w:val="28"/>
          <w:szCs w:val="28"/>
        </w:rPr>
      </w:pPr>
      <w:r w:rsidRPr="00AC3646">
        <w:rPr>
          <w:rFonts w:asciiTheme="minorHAnsi" w:hAnsiTheme="minorHAnsi" w:cstheme="minorHAnsi"/>
          <w:color w:val="3E5C61" w:themeColor="accent6"/>
          <w:sz w:val="18"/>
          <w:szCs w:val="18"/>
        </w:rPr>
        <w:t xml:space="preserve">Wilhelm, Jeffrey D. (2014). Learning to love the questions. </w:t>
      </w:r>
      <w:r w:rsidRPr="00AC3646">
        <w:rPr>
          <w:rFonts w:asciiTheme="minorHAnsi" w:hAnsiTheme="minorHAnsi" w:cstheme="minorHAnsi"/>
          <w:i/>
          <w:iCs/>
          <w:color w:val="3E5C61" w:themeColor="accent6"/>
          <w:sz w:val="18"/>
          <w:szCs w:val="18"/>
        </w:rPr>
        <w:t>Knowledge Quest</w:t>
      </w:r>
      <w:r w:rsidRPr="00AC3646">
        <w:rPr>
          <w:rFonts w:asciiTheme="minorHAnsi" w:hAnsiTheme="minorHAnsi" w:cstheme="minorHAnsi"/>
          <w:color w:val="3E5C61" w:themeColor="accent6"/>
          <w:sz w:val="18"/>
          <w:szCs w:val="18"/>
        </w:rPr>
        <w:t>, 42(5), 36–41.</w:t>
      </w:r>
    </w:p>
    <w:p w14:paraId="43A7465E" w14:textId="77777777" w:rsidR="00B24947" w:rsidRPr="00AC3646" w:rsidRDefault="00B24947" w:rsidP="00B24947">
      <w:pPr>
        <w:pStyle w:val="NormalWeb"/>
        <w:spacing w:before="60" w:beforeAutospacing="0" w:after="0" w:afterAutospacing="0"/>
        <w:rPr>
          <w:rFonts w:asciiTheme="minorHAnsi" w:hAnsiTheme="minorHAnsi" w:cstheme="minorHAnsi"/>
          <w:color w:val="3E5C61" w:themeColor="accent6"/>
          <w:sz w:val="28"/>
          <w:szCs w:val="28"/>
        </w:rPr>
      </w:pPr>
      <w:r w:rsidRPr="00AC3646">
        <w:rPr>
          <w:rFonts w:asciiTheme="minorHAnsi" w:hAnsiTheme="minorHAnsi" w:cstheme="minorHAnsi"/>
          <w:color w:val="3E5C61" w:themeColor="accent6"/>
          <w:sz w:val="18"/>
          <w:szCs w:val="18"/>
        </w:rPr>
        <w:t> </w:t>
      </w:r>
    </w:p>
    <w:p w14:paraId="74421593" w14:textId="155FCA51" w:rsidR="00587068" w:rsidRPr="00AC3646" w:rsidRDefault="00B24947" w:rsidP="00AC3646">
      <w:pPr>
        <w:pStyle w:val="BodyText"/>
        <w:rPr>
          <w:rFonts w:cstheme="minorHAnsi"/>
          <w:color w:val="3E5C61" w:themeColor="accent6"/>
          <w:sz w:val="28"/>
          <w:szCs w:val="24"/>
        </w:rPr>
      </w:pPr>
      <w:proofErr w:type="spellStart"/>
      <w:r w:rsidRPr="00AC3646">
        <w:rPr>
          <w:rFonts w:cstheme="minorHAnsi"/>
          <w:color w:val="3E5C61" w:themeColor="accent6"/>
          <w:sz w:val="18"/>
          <w:szCs w:val="18"/>
        </w:rPr>
        <w:t>Windschitl</w:t>
      </w:r>
      <w:proofErr w:type="spellEnd"/>
      <w:r w:rsidRPr="00AC3646">
        <w:rPr>
          <w:rFonts w:cstheme="minorHAnsi"/>
          <w:color w:val="3E5C61" w:themeColor="accent6"/>
          <w:sz w:val="18"/>
          <w:szCs w:val="18"/>
        </w:rPr>
        <w:t xml:space="preserve">, M., Thompson, J., &amp; Braaten, M. (2018). </w:t>
      </w:r>
      <w:r w:rsidRPr="00AC3646">
        <w:rPr>
          <w:rFonts w:cstheme="minorHAnsi"/>
          <w:i/>
          <w:iCs/>
          <w:color w:val="3E5C61" w:themeColor="accent6"/>
          <w:sz w:val="18"/>
          <w:szCs w:val="18"/>
        </w:rPr>
        <w:t>Ambitious Science Teaching</w:t>
      </w:r>
      <w:r w:rsidRPr="00AC3646">
        <w:rPr>
          <w:rFonts w:cstheme="minorHAnsi"/>
          <w:color w:val="3E5C61" w:themeColor="accent6"/>
          <w:sz w:val="18"/>
          <w:szCs w:val="18"/>
        </w:rPr>
        <w:t>. Cambridge: Harvard Education Press.</w:t>
      </w:r>
    </w:p>
    <w:sectPr w:rsidR="00587068" w:rsidRPr="00AC3646">
      <w:foot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CBDB27" w14:textId="77777777" w:rsidR="006C1088" w:rsidRDefault="006C1088" w:rsidP="00293785">
      <w:pPr>
        <w:spacing w:after="0" w:line="240" w:lineRule="auto"/>
      </w:pPr>
      <w:r>
        <w:separator/>
      </w:r>
    </w:p>
  </w:endnote>
  <w:endnote w:type="continuationSeparator" w:id="0">
    <w:p w14:paraId="7DBFC9E1" w14:textId="77777777" w:rsidR="006C1088" w:rsidRDefault="006C1088" w:rsidP="00293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F78C8" w14:textId="3F5F683B" w:rsidR="00293785" w:rsidRDefault="00AC349E">
    <w:pPr>
      <w:pStyle w:val="Footer"/>
    </w:pPr>
    <w:r w:rsidRPr="00293785">
      <w:rPr>
        <w:noProof/>
      </w:rPr>
      <mc:AlternateContent>
        <mc:Choice Requires="wps">
          <w:drawing>
            <wp:anchor distT="0" distB="0" distL="114300" distR="114300" simplePos="0" relativeHeight="251667456" behindDoc="0" locked="0" layoutInCell="1" allowOverlap="1" wp14:anchorId="0D5AD07C" wp14:editId="6FFCE568">
              <wp:simplePos x="0" y="0"/>
              <wp:positionH relativeFrom="column">
                <wp:posOffset>1143000</wp:posOffset>
              </wp:positionH>
              <wp:positionV relativeFrom="paragraph">
                <wp:posOffset>-261620</wp:posOffset>
              </wp:positionV>
              <wp:extent cx="4000500" cy="285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000500" cy="28575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503C8D7" w14:textId="6A0C8CC4" w:rsidR="00293785" w:rsidRDefault="006C1088" w:rsidP="00D106FF">
                          <w:pPr>
                            <w:pStyle w:val="LessonFooter"/>
                          </w:pPr>
                          <w:sdt>
                            <w:sdtPr>
                              <w:alias w:val="Title"/>
                              <w:tag w:val=""/>
                              <w:id w:val="1281607793"/>
                              <w:placeholder>
                                <w:docPart w:val="20D3374ED0464DE5BE7181D06F2CEFA9"/>
                              </w:placeholder>
                              <w:dataBinding w:prefixMappings="xmlns:ns0='http://purl.org/dc/elements/1.1/' xmlns:ns1='http://schemas.openxmlformats.org/package/2006/metadata/core-properties' " w:xpath="/ns1:coreProperties[1]/ns0:title[1]" w:storeItemID="{6C3C8BC8-F283-45AE-878A-BAB7291924A1}"/>
                              <w:text/>
                            </w:sdtPr>
                            <w:sdtEndPr/>
                            <w:sdtContent>
                              <w:r w:rsidR="00B24947">
                                <w:t xml:space="preserve">what do </w:t>
                              </w:r>
                              <w:proofErr w:type="gramStart"/>
                              <w:r w:rsidR="00B24947">
                                <w:t>you</w:t>
                              </w:r>
                              <w:proofErr w:type="gramEnd"/>
                              <w:r w:rsidR="00B24947">
                                <w:t xml:space="preserve"> meme?</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5AD07C" id="_x0000_t202" coordsize="21600,21600" o:spt="202" path="m,l,21600r21600,l21600,xe">
              <v:stroke joinstyle="miter"/>
              <v:path gradientshapeok="t" o:connecttype="rect"/>
            </v:shapetype>
            <v:shape id="Text Box 6" o:spid="_x0000_s1026" type="#_x0000_t202" style="position:absolute;margin-left:90pt;margin-top:-20.6pt;width:31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" filled="f" stroked="f">
              <v:textbox>
                <w:txbxContent>
                  <w:p w14:paraId="0503C8D7" w14:textId="6A0C8CC4" w:rsidR="00293785" w:rsidRDefault="00415F6D" w:rsidP="00D106FF">
                    <w:pPr>
                      <w:pStyle w:val="LessonFooter"/>
                    </w:pPr>
                    <w:sdt>
                      <w:sdtPr>
                        <w:alias w:val="Title"/>
                        <w:tag w:val=""/>
                        <w:id w:val="1281607793"/>
                        <w:placeholder>
                          <w:docPart w:val="20D3374ED0464DE5BE7181D06F2CEFA9"/>
                        </w:placeholder>
                        <w:dataBinding w:prefixMappings="xmlns:ns0='http://purl.org/dc/elements/1.1/' xmlns:ns1='http://schemas.openxmlformats.org/package/2006/metadata/core-properties' " w:xpath="/ns1:coreProperties[1]/ns0:title[1]" w:storeItemID="{6C3C8BC8-F283-45AE-878A-BAB7291924A1}"/>
                        <w:text/>
                      </w:sdtPr>
                      <w:sdtEndPr/>
                      <w:sdtContent>
                        <w:r w:rsidR="00B24947">
                          <w:t xml:space="preserve">what do </w:t>
                        </w:r>
                        <w:proofErr w:type="gramStart"/>
                        <w:r w:rsidR="00B24947">
                          <w:t>you</w:t>
                        </w:r>
                        <w:proofErr w:type="gramEnd"/>
                        <w:r w:rsidR="00B24947">
                          <w:t xml:space="preserve"> meme?</w:t>
                        </w:r>
                      </w:sdtContent>
                    </w:sdt>
                  </w:p>
                </w:txbxContent>
              </v:textbox>
            </v:shape>
          </w:pict>
        </mc:Fallback>
      </mc:AlternateContent>
    </w:r>
    <w:r w:rsidR="00293785" w:rsidRPr="00293785">
      <w:rPr>
        <w:noProof/>
      </w:rPr>
      <w:drawing>
        <wp:anchor distT="0" distB="0" distL="114300" distR="114300" simplePos="0" relativeHeight="251648000" behindDoc="1" locked="0" layoutInCell="1" allowOverlap="1" wp14:anchorId="53F9C81B" wp14:editId="307EA16E">
          <wp:simplePos x="0" y="0"/>
          <wp:positionH relativeFrom="column">
            <wp:posOffset>1028700</wp:posOffset>
          </wp:positionH>
          <wp:positionV relativeFrom="paragraph">
            <wp:posOffset>-212725</wp:posOffset>
          </wp:positionV>
          <wp:extent cx="4572000" cy="31686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538F47" w14:textId="77777777" w:rsidR="006C1088" w:rsidRDefault="006C1088" w:rsidP="00293785">
      <w:pPr>
        <w:spacing w:after="0" w:line="240" w:lineRule="auto"/>
      </w:pPr>
      <w:r>
        <w:separator/>
      </w:r>
    </w:p>
  </w:footnote>
  <w:footnote w:type="continuationSeparator" w:id="0">
    <w:p w14:paraId="29FC366B" w14:textId="77777777" w:rsidR="006C1088" w:rsidRDefault="006C1088" w:rsidP="002937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EC7015"/>
    <w:multiLevelType w:val="hybridMultilevel"/>
    <w:tmpl w:val="2E46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69620D"/>
    <w:multiLevelType w:val="hybridMultilevel"/>
    <w:tmpl w:val="9CFAB25A"/>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2" w15:restartNumberingAfterBreak="0">
    <w:nsid w:val="40262599"/>
    <w:multiLevelType w:val="hybridMultilevel"/>
    <w:tmpl w:val="28A49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FC7CBF"/>
    <w:multiLevelType w:val="hybridMultilevel"/>
    <w:tmpl w:val="01F69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CD67D3"/>
    <w:multiLevelType w:val="hybridMultilevel"/>
    <w:tmpl w:val="9188A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1411CA"/>
    <w:multiLevelType w:val="hybridMultilevel"/>
    <w:tmpl w:val="6F2A2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303056"/>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8F634E"/>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E109C0"/>
    <w:multiLevelType w:val="hybridMultilevel"/>
    <w:tmpl w:val="895067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C587C53"/>
    <w:multiLevelType w:val="hybridMultilevel"/>
    <w:tmpl w:val="804EC7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EDC1AFB"/>
    <w:multiLevelType w:val="hybridMultilevel"/>
    <w:tmpl w:val="7B06F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7"/>
  </w:num>
  <w:num w:numId="3">
    <w:abstractNumId w:val="0"/>
  </w:num>
  <w:num w:numId="4">
    <w:abstractNumId w:val="2"/>
  </w:num>
  <w:num w:numId="5">
    <w:abstractNumId w:val="3"/>
  </w:num>
  <w:num w:numId="6">
    <w:abstractNumId w:val="5"/>
  </w:num>
  <w:num w:numId="7">
    <w:abstractNumId w:val="4"/>
  </w:num>
  <w:num w:numId="8">
    <w:abstractNumId w:val="8"/>
  </w:num>
  <w:num w:numId="9">
    <w:abstractNumId w:val="9"/>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D14"/>
    <w:rsid w:val="0004006F"/>
    <w:rsid w:val="00053775"/>
    <w:rsid w:val="0005619A"/>
    <w:rsid w:val="0008589D"/>
    <w:rsid w:val="0011259B"/>
    <w:rsid w:val="00116FDD"/>
    <w:rsid w:val="00125621"/>
    <w:rsid w:val="001D0BBF"/>
    <w:rsid w:val="001E1F85"/>
    <w:rsid w:val="001F125D"/>
    <w:rsid w:val="002345CC"/>
    <w:rsid w:val="00293785"/>
    <w:rsid w:val="002C0879"/>
    <w:rsid w:val="002C37B4"/>
    <w:rsid w:val="0036040A"/>
    <w:rsid w:val="00397FA9"/>
    <w:rsid w:val="00415F6D"/>
    <w:rsid w:val="00446C13"/>
    <w:rsid w:val="005078B4"/>
    <w:rsid w:val="0053328A"/>
    <w:rsid w:val="00540FC6"/>
    <w:rsid w:val="005511B6"/>
    <w:rsid w:val="00553C98"/>
    <w:rsid w:val="00587068"/>
    <w:rsid w:val="005A7635"/>
    <w:rsid w:val="00645D7F"/>
    <w:rsid w:val="00656940"/>
    <w:rsid w:val="00665274"/>
    <w:rsid w:val="00666C03"/>
    <w:rsid w:val="00686DAB"/>
    <w:rsid w:val="006B4CC2"/>
    <w:rsid w:val="006C1088"/>
    <w:rsid w:val="006C3C2D"/>
    <w:rsid w:val="006E1542"/>
    <w:rsid w:val="00721EA4"/>
    <w:rsid w:val="00797CB5"/>
    <w:rsid w:val="007B055F"/>
    <w:rsid w:val="007E6F1D"/>
    <w:rsid w:val="00880013"/>
    <w:rsid w:val="008920A4"/>
    <w:rsid w:val="008F5386"/>
    <w:rsid w:val="00913172"/>
    <w:rsid w:val="00981E19"/>
    <w:rsid w:val="009B52E4"/>
    <w:rsid w:val="009B7D14"/>
    <w:rsid w:val="009D6E8D"/>
    <w:rsid w:val="00A101E8"/>
    <w:rsid w:val="00AC349E"/>
    <w:rsid w:val="00AC3646"/>
    <w:rsid w:val="00B24947"/>
    <w:rsid w:val="00B92DBF"/>
    <w:rsid w:val="00BD119F"/>
    <w:rsid w:val="00C73EA1"/>
    <w:rsid w:val="00C8524A"/>
    <w:rsid w:val="00CC4F77"/>
    <w:rsid w:val="00CD3CF6"/>
    <w:rsid w:val="00CE336D"/>
    <w:rsid w:val="00D106FF"/>
    <w:rsid w:val="00D626EB"/>
    <w:rsid w:val="00DC7A6D"/>
    <w:rsid w:val="00ED24C8"/>
    <w:rsid w:val="00F377E2"/>
    <w:rsid w:val="00F50748"/>
    <w:rsid w:val="00F72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D3FEFC"/>
  <w15:docId w15:val="{2269EAE9-5A99-4CF0-9BF8-5356582CA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pPr>
      <w:spacing w:after="120" w:line="276" w:lineRule="auto"/>
    </w:pPr>
    <w:rPr>
      <w:sz w:val="24"/>
    </w:rPr>
  </w:style>
  <w:style w:type="paragraph" w:styleId="Heading1">
    <w:name w:val="heading 1"/>
    <w:basedOn w:val="Normal"/>
    <w:next w:val="Normal"/>
    <w:link w:val="Heading1Char"/>
    <w:autoRedefine/>
    <w:uiPriority w:val="9"/>
    <w:qFormat/>
    <w:rsid w:val="006B4CC2"/>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autoRedefine/>
    <w:uiPriority w:val="9"/>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autoRedefine/>
    <w:uiPriority w:val="9"/>
    <w:unhideWhenUsed/>
    <w:qFormat/>
    <w:rsid w:val="00721EA4"/>
    <w:pPr>
      <w:keepNext/>
      <w:keepLines/>
      <w:spacing w:before="40" w:after="0"/>
      <w:outlineLvl w:val="2"/>
    </w:pPr>
    <w:rPr>
      <w:rFonts w:asciiTheme="majorHAnsi" w:eastAsiaTheme="majorEastAsia" w:hAnsiTheme="majorHAnsi" w:cstheme="majorBidi"/>
      <w:i/>
      <w:color w:val="3E5C61" w:themeColor="text2"/>
      <w:szCs w:val="24"/>
    </w:rPr>
  </w:style>
  <w:style w:type="paragraph" w:styleId="Heading4">
    <w:name w:val="heading 4"/>
    <w:basedOn w:val="Normal"/>
    <w:next w:val="Normal"/>
    <w:autoRedefine/>
    <w:uiPriority w:val="9"/>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unhideWhenUsed/>
    <w:rsid w:val="00AC349E"/>
  </w:style>
  <w:style w:type="character" w:customStyle="1" w:styleId="BodyTextChar">
    <w:name w:val="Body Text Char"/>
    <w:basedOn w:val="DefaultParagraphFont"/>
    <w:link w:val="BodyText"/>
    <w:uiPriority w:val="99"/>
    <w:rsid w:val="00AC349E"/>
    <w:rPr>
      <w:sz w:val="24"/>
    </w:rPr>
  </w:style>
  <w:style w:type="character" w:customStyle="1" w:styleId="Heading1Char">
    <w:name w:val="Heading 1 Char"/>
    <w:basedOn w:val="DefaultParagraphFont"/>
    <w:link w:val="Heading1"/>
    <w:uiPriority w:val="9"/>
    <w:rsid w:val="006B4CC2"/>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szCs w:val="24"/>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6B4CC2"/>
    <w:pPr>
      <w:spacing w:after="0" w:line="240" w:lineRule="auto"/>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rPr>
      <w:szCs w:val="24"/>
    </w:rPr>
  </w:style>
  <w:style w:type="character" w:customStyle="1" w:styleId="TableColumnHeadersChar">
    <w:name w:val="Table Column Headers Char"/>
    <w:basedOn w:val="DefaultParagraphFont"/>
    <w:link w:val="TableColumnHeaders"/>
    <w:rsid w:val="006B4CC2"/>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6B4CC2"/>
    <w:pPr>
      <w:spacing w:after="0" w:line="240" w:lineRule="auto"/>
    </w:pPr>
    <w:rPr>
      <w:b/>
      <w:color w:val="910D28" w:themeColor="accent1"/>
    </w:rPr>
  </w:style>
  <w:style w:type="paragraph" w:customStyle="1" w:styleId="TableData">
    <w:name w:val="Table Data"/>
    <w:basedOn w:val="Normal"/>
    <w:qFormat/>
    <w:rsid w:val="006B4CC2"/>
    <w:pPr>
      <w:spacing w:after="0" w:line="240" w:lineRule="auto"/>
    </w:pPr>
  </w:style>
  <w:style w:type="character" w:customStyle="1" w:styleId="apple-tab-span">
    <w:name w:val="apple-tab-span"/>
    <w:basedOn w:val="DefaultParagraphFont"/>
    <w:rsid w:val="00B249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243557">
      <w:bodyDiv w:val="1"/>
      <w:marLeft w:val="0"/>
      <w:marRight w:val="0"/>
      <w:marTop w:val="0"/>
      <w:marBottom w:val="0"/>
      <w:divBdr>
        <w:top w:val="none" w:sz="0" w:space="0" w:color="auto"/>
        <w:left w:val="none" w:sz="0" w:space="0" w:color="auto"/>
        <w:bottom w:val="none" w:sz="0" w:space="0" w:color="auto"/>
        <w:right w:val="none" w:sz="0" w:space="0" w:color="auto"/>
      </w:divBdr>
    </w:div>
    <w:div w:id="137696202">
      <w:bodyDiv w:val="1"/>
      <w:marLeft w:val="0"/>
      <w:marRight w:val="0"/>
      <w:marTop w:val="0"/>
      <w:marBottom w:val="0"/>
      <w:divBdr>
        <w:top w:val="none" w:sz="0" w:space="0" w:color="auto"/>
        <w:left w:val="none" w:sz="0" w:space="0" w:color="auto"/>
        <w:bottom w:val="none" w:sz="0" w:space="0" w:color="auto"/>
        <w:right w:val="none" w:sz="0" w:space="0" w:color="auto"/>
      </w:divBdr>
    </w:div>
    <w:div w:id="249198416">
      <w:bodyDiv w:val="1"/>
      <w:marLeft w:val="0"/>
      <w:marRight w:val="0"/>
      <w:marTop w:val="0"/>
      <w:marBottom w:val="0"/>
      <w:divBdr>
        <w:top w:val="none" w:sz="0" w:space="0" w:color="auto"/>
        <w:left w:val="none" w:sz="0" w:space="0" w:color="auto"/>
        <w:bottom w:val="none" w:sz="0" w:space="0" w:color="auto"/>
        <w:right w:val="none" w:sz="0" w:space="0" w:color="auto"/>
      </w:divBdr>
    </w:div>
    <w:div w:id="400635205">
      <w:bodyDiv w:val="1"/>
      <w:marLeft w:val="0"/>
      <w:marRight w:val="0"/>
      <w:marTop w:val="0"/>
      <w:marBottom w:val="0"/>
      <w:divBdr>
        <w:top w:val="none" w:sz="0" w:space="0" w:color="auto"/>
        <w:left w:val="none" w:sz="0" w:space="0" w:color="auto"/>
        <w:bottom w:val="none" w:sz="0" w:space="0" w:color="auto"/>
        <w:right w:val="none" w:sz="0" w:space="0" w:color="auto"/>
      </w:divBdr>
    </w:div>
    <w:div w:id="12130068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ls0010\Downloads\Vertical%20LEARN%20Document%20Attachment%20with%20Instructions.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0D3374ED0464DE5BE7181D06F2CEFA9"/>
        <w:category>
          <w:name w:val="General"/>
          <w:gallery w:val="placeholder"/>
        </w:category>
        <w:types>
          <w:type w:val="bbPlcHdr"/>
        </w:types>
        <w:behaviors>
          <w:behavior w:val="content"/>
        </w:behaviors>
        <w:guid w:val="{F224005A-201F-408D-8ABE-CC493439EDBB}"/>
      </w:docPartPr>
      <w:docPartBody>
        <w:p w:rsidR="00630743" w:rsidRDefault="00EC3548">
          <w:pPr>
            <w:pStyle w:val="20D3374ED0464DE5BE7181D06F2CEFA9"/>
          </w:pPr>
          <w:r w:rsidRPr="00D61E8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548"/>
    <w:rsid w:val="00630743"/>
    <w:rsid w:val="00653772"/>
    <w:rsid w:val="006960A8"/>
    <w:rsid w:val="00EC35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20D3374ED0464DE5BE7181D06F2CEFA9">
    <w:name w:val="20D3374ED0464DE5BE7181D06F2CEFA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FFED32-C619-4179-8329-D540554DE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Vertical LEARN Document Attachment with Instructions</Template>
  <TotalTime>35</TotalTime>
  <Pages>2</Pages>
  <Words>658</Words>
  <Characters>3755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Vertical LEARN Document Attachment</vt:lpstr>
    </vt:vector>
  </TitlesOfParts>
  <Company/>
  <LinksUpToDate>false</LinksUpToDate>
  <CharactersWithSpaces>4405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what do you meme?</dc:title>
  <dc:creator>K20 Center</dc:creator>
  <cp:lastModifiedBy>Lee, Brooke L.</cp:lastModifiedBy>
  <cp:revision>3</cp:revision>
  <cp:lastPrinted>2016-07-14T14:08:00Z</cp:lastPrinted>
  <dcterms:created xsi:type="dcterms:W3CDTF">2022-01-10T16:44:00Z</dcterms:created>
  <dcterms:modified xsi:type="dcterms:W3CDTF">2022-02-22T14:26:00Z</dcterms:modified>
</cp:coreProperties>
</file>