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3A2232" w14:textId="1C8B773C" w:rsidR="00446C13" w:rsidRPr="00DC7A6D" w:rsidRDefault="000272C5" w:rsidP="00DC7A6D">
      <w:pPr>
        <w:pStyle w:val="Title"/>
      </w:pPr>
      <w:r>
        <w:t>How Does Your garden Grow? Explain Phase</w:t>
      </w:r>
    </w:p>
    <w:p w14:paraId="09B20C49" w14:textId="5665CAE6" w:rsidR="00AD5228" w:rsidRPr="00AD5228" w:rsidRDefault="00AD5228" w:rsidP="00AD5228">
      <w:pPr>
        <w:pStyle w:val="BodyText"/>
        <w:rPr>
          <w:rFonts w:asciiTheme="majorHAnsi" w:eastAsiaTheme="majorEastAsia" w:hAnsiTheme="majorHAnsi" w:cstheme="majorBidi"/>
          <w:b/>
          <w:color w:val="910D28" w:themeColor="accent1"/>
          <w:szCs w:val="32"/>
          <w:shd w:val="clear" w:color="auto" w:fill="FFFFFF"/>
        </w:rPr>
      </w:pPr>
      <w:r w:rsidRPr="00AD5228">
        <w:rPr>
          <w:rFonts w:asciiTheme="majorHAnsi" w:eastAsiaTheme="majorEastAsia" w:hAnsiTheme="majorHAnsi" w:cstheme="majorBidi"/>
          <w:b/>
          <w:color w:val="910D28" w:themeColor="accent1"/>
          <w:szCs w:val="32"/>
          <w:shd w:val="clear" w:color="auto" w:fill="FFFFFF"/>
        </w:rPr>
        <w:t xml:space="preserve">For </w:t>
      </w:r>
      <w:r>
        <w:rPr>
          <w:rFonts w:asciiTheme="majorHAnsi" w:eastAsiaTheme="majorEastAsia" w:hAnsiTheme="majorHAnsi" w:cstheme="majorBidi"/>
          <w:b/>
          <w:color w:val="910D28" w:themeColor="accent1"/>
          <w:szCs w:val="32"/>
          <w:shd w:val="clear" w:color="auto" w:fill="FFFFFF"/>
        </w:rPr>
        <w:t>Middle</w:t>
      </w:r>
      <w:r w:rsidRPr="00AD5228">
        <w:rPr>
          <w:rFonts w:asciiTheme="majorHAnsi" w:eastAsiaTheme="majorEastAsia" w:hAnsiTheme="majorHAnsi" w:cstheme="majorBidi"/>
          <w:b/>
          <w:color w:val="910D28" w:themeColor="accent1"/>
          <w:szCs w:val="32"/>
          <w:shd w:val="clear" w:color="auto" w:fill="FFFFFF"/>
        </w:rPr>
        <w:t xml:space="preserve"> Schoolers</w:t>
      </w:r>
    </w:p>
    <w:p w14:paraId="3E1FF284" w14:textId="15809F9B" w:rsidR="00AD5228" w:rsidRPr="00AD5228" w:rsidRDefault="00AD5228" w:rsidP="00AD5228">
      <w:pPr>
        <w:rPr>
          <w:rFonts w:cs="RobotoRegular"/>
          <w:szCs w:val="24"/>
        </w:rPr>
      </w:pPr>
      <w:r w:rsidRPr="00AD5228">
        <w:rPr>
          <w:rFonts w:cs="RobotoRegular"/>
          <w:szCs w:val="24"/>
        </w:rPr>
        <w:t>Now that students have a general understanding of soil health, transition them into developing concepts about soil nutrients</w:t>
      </w:r>
      <w:r>
        <w:rPr>
          <w:rFonts w:cs="RobotoRegular"/>
          <w:szCs w:val="24"/>
        </w:rPr>
        <w:t xml:space="preserve"> </w:t>
      </w:r>
      <w:r w:rsidRPr="00AD5228">
        <w:rPr>
          <w:rFonts w:cs="RobotoRegular"/>
          <w:szCs w:val="24"/>
        </w:rPr>
        <w:t xml:space="preserve">specifically. Students should work together to complete the </w:t>
      </w:r>
      <w:r w:rsidRPr="00AD5228">
        <w:rPr>
          <w:rFonts w:cs="RobotoItalic"/>
          <w:i/>
          <w:iCs/>
          <w:szCs w:val="24"/>
        </w:rPr>
        <w:t>How Does Your Garden Grow? Breakout</w:t>
      </w:r>
      <w:r w:rsidRPr="00AD5228">
        <w:rPr>
          <w:rFonts w:cs="RobotoRegular"/>
          <w:szCs w:val="24"/>
        </w:rPr>
        <w:t>. They should summarize the</w:t>
      </w:r>
      <w:r>
        <w:rPr>
          <w:rFonts w:cs="RobotoRegular"/>
          <w:szCs w:val="24"/>
        </w:rPr>
        <w:t xml:space="preserve"> </w:t>
      </w:r>
      <w:r w:rsidRPr="00AD5228">
        <w:rPr>
          <w:rFonts w:cs="RobotoRegular"/>
          <w:szCs w:val="24"/>
        </w:rPr>
        <w:t xml:space="preserve">information they learn during the breakout in the </w:t>
      </w:r>
      <w:r w:rsidRPr="00AD5228">
        <w:rPr>
          <w:rFonts w:cs="RobotoItalic"/>
          <w:i/>
          <w:iCs/>
          <w:szCs w:val="24"/>
        </w:rPr>
        <w:t xml:space="preserve">Nutrient Cycles </w:t>
      </w:r>
      <w:r w:rsidRPr="00AD5228">
        <w:rPr>
          <w:rFonts w:cs="RobotoRegular"/>
          <w:szCs w:val="24"/>
        </w:rPr>
        <w:t>Window Note box and make additional notes in the other</w:t>
      </w:r>
      <w:r>
        <w:rPr>
          <w:rFonts w:cs="RobotoRegular"/>
          <w:szCs w:val="24"/>
        </w:rPr>
        <w:t xml:space="preserve"> </w:t>
      </w:r>
      <w:r w:rsidRPr="00AD5228">
        <w:rPr>
          <w:rFonts w:cs="RobotoRegular"/>
          <w:szCs w:val="24"/>
        </w:rPr>
        <w:t>"windows" as necessary.</w:t>
      </w:r>
    </w:p>
    <w:p w14:paraId="6E0B4CEC" w14:textId="1F527B00" w:rsidR="00AD5228" w:rsidRPr="00AD5228" w:rsidRDefault="00AD5228" w:rsidP="00AD5228">
      <w:pPr>
        <w:rPr>
          <w:rFonts w:cs="RobotoRegular"/>
          <w:szCs w:val="24"/>
        </w:rPr>
      </w:pPr>
      <w:r w:rsidRPr="00AD5228">
        <w:rPr>
          <w:rFonts w:cs="RobotoRegular"/>
          <w:szCs w:val="24"/>
        </w:rPr>
        <w:t>Ask students to use the 3-Post It Notes strategy in their small groups or individually. At this point only have them complete the</w:t>
      </w:r>
      <w:r>
        <w:rPr>
          <w:rFonts w:cs="RobotoRegular"/>
          <w:szCs w:val="24"/>
        </w:rPr>
        <w:t xml:space="preserve"> </w:t>
      </w:r>
      <w:r w:rsidRPr="00AD5228">
        <w:rPr>
          <w:rFonts w:cs="RobotoRegular"/>
          <w:szCs w:val="24"/>
        </w:rPr>
        <w:t xml:space="preserve">Word = ___ and Phrase = ____ notes. Repeat the process you used for the previous anchor charts to develop one for </w:t>
      </w:r>
      <w:r w:rsidRPr="00AD5228">
        <w:rPr>
          <w:rFonts w:cs="RobotoItalic"/>
          <w:i/>
          <w:iCs/>
          <w:szCs w:val="24"/>
        </w:rPr>
        <w:t>Nutrient</w:t>
      </w:r>
      <w:r>
        <w:rPr>
          <w:rFonts w:cs="RobotoItalic"/>
          <w:i/>
          <w:iCs/>
          <w:szCs w:val="24"/>
        </w:rPr>
        <w:t xml:space="preserve"> </w:t>
      </w:r>
      <w:r w:rsidRPr="00AD5228">
        <w:rPr>
          <w:rFonts w:cs="RobotoItalic"/>
          <w:i/>
          <w:iCs/>
          <w:szCs w:val="24"/>
        </w:rPr>
        <w:t>Cycles</w:t>
      </w:r>
      <w:r w:rsidRPr="00AD5228">
        <w:rPr>
          <w:rFonts w:cs="RobotoRegular"/>
          <w:szCs w:val="24"/>
        </w:rPr>
        <w:t>. Ask students to share out their Words and Phrases as part of the summary conversation. If necessary</w:t>
      </w:r>
      <w:r w:rsidR="00305D9F">
        <w:rPr>
          <w:rFonts w:cs="RobotoRegular"/>
          <w:szCs w:val="24"/>
        </w:rPr>
        <w:t>,</w:t>
      </w:r>
      <w:r w:rsidRPr="00AD5228">
        <w:rPr>
          <w:rFonts w:cs="RobotoRegular"/>
          <w:szCs w:val="24"/>
        </w:rPr>
        <w:t xml:space="preserve"> add any new</w:t>
      </w:r>
      <w:r>
        <w:rPr>
          <w:rFonts w:cs="RobotoRegular"/>
          <w:szCs w:val="24"/>
        </w:rPr>
        <w:t xml:space="preserve"> </w:t>
      </w:r>
      <w:r w:rsidRPr="00AD5228">
        <w:rPr>
          <w:rFonts w:cs="RobotoRegular"/>
          <w:szCs w:val="24"/>
        </w:rPr>
        <w:t>information students discovered to the other three charts as well.</w:t>
      </w:r>
    </w:p>
    <w:p w14:paraId="4292EB53" w14:textId="77777777" w:rsidR="00AD5228" w:rsidRPr="00AD5228" w:rsidRDefault="00AD5228" w:rsidP="00AD5228">
      <w:pPr>
        <w:ind w:left="720"/>
        <w:rPr>
          <w:color w:val="306E7C"/>
          <w:szCs w:val="24"/>
        </w:rPr>
      </w:pPr>
      <w:r w:rsidRPr="00AD5228">
        <w:rPr>
          <w:color w:val="306E7C"/>
          <w:szCs w:val="24"/>
        </w:rPr>
        <w:t>MISCONCEPTIONS, VOCABULARY, NOTES</w:t>
      </w:r>
    </w:p>
    <w:p w14:paraId="33FE85C0" w14:textId="7AAE51EA" w:rsidR="00AD5228" w:rsidRPr="00AD5228" w:rsidRDefault="00AD5228" w:rsidP="00AD5228">
      <w:pPr>
        <w:ind w:left="720"/>
        <w:rPr>
          <w:rFonts w:cs="RobotoItalic"/>
          <w:i/>
          <w:iCs/>
          <w:szCs w:val="24"/>
        </w:rPr>
      </w:pPr>
      <w:r w:rsidRPr="00AD5228">
        <w:rPr>
          <w:rFonts w:cs="RobotoItalic"/>
          <w:i/>
          <w:iCs/>
          <w:szCs w:val="24"/>
        </w:rPr>
        <w:t>If the entire class is struggling with content details or missed important information during their Explore activities, this is an appropriate</w:t>
      </w:r>
      <w:r>
        <w:rPr>
          <w:rFonts w:cs="RobotoItalic"/>
          <w:i/>
          <w:iCs/>
          <w:szCs w:val="24"/>
        </w:rPr>
        <w:t xml:space="preserve"> </w:t>
      </w:r>
      <w:r w:rsidRPr="00AD5228">
        <w:rPr>
          <w:rFonts w:cs="RobotoItalic"/>
          <w:i/>
          <w:iCs/>
          <w:szCs w:val="24"/>
        </w:rPr>
        <w:t>place for direct instruction. To fill gaps or misconceptions, this could include providing a brief lecture, having students take notes over</w:t>
      </w:r>
      <w:r>
        <w:rPr>
          <w:rFonts w:cs="RobotoItalic"/>
          <w:i/>
          <w:iCs/>
          <w:szCs w:val="24"/>
        </w:rPr>
        <w:t xml:space="preserve"> </w:t>
      </w:r>
      <w:r w:rsidRPr="00AD5228">
        <w:rPr>
          <w:rFonts w:cs="RobotoItalic"/>
          <w:i/>
          <w:iCs/>
          <w:szCs w:val="24"/>
        </w:rPr>
        <w:t>specific concepts, or developing content-specific vocabulary.</w:t>
      </w:r>
    </w:p>
    <w:p w14:paraId="662F0616" w14:textId="55062748" w:rsidR="00AD5228" w:rsidRPr="00AD5228" w:rsidRDefault="00AD5228" w:rsidP="00AD5228">
      <w:pPr>
        <w:rPr>
          <w:rFonts w:cs="RobotoRegular"/>
          <w:szCs w:val="24"/>
        </w:rPr>
      </w:pPr>
      <w:r w:rsidRPr="00AD5228">
        <w:rPr>
          <w:rFonts w:cs="RobotoRegular"/>
          <w:szCs w:val="24"/>
        </w:rPr>
        <w:t xml:space="preserve">Help students synthesize the conceptual pieces for themselves. As part of this process, they should complete the </w:t>
      </w:r>
      <w:r w:rsidRPr="00AD5228">
        <w:rPr>
          <w:rFonts w:cs="RobotoItalic"/>
          <w:i/>
          <w:iCs/>
          <w:szCs w:val="24"/>
        </w:rPr>
        <w:t xml:space="preserve">Sentence </w:t>
      </w:r>
      <w:r w:rsidRPr="00AD5228">
        <w:rPr>
          <w:rFonts w:cs="RobotoRegular"/>
          <w:szCs w:val="24"/>
        </w:rPr>
        <w:t>part</w:t>
      </w:r>
      <w:r>
        <w:rPr>
          <w:rFonts w:cs="RobotoRegular"/>
          <w:szCs w:val="24"/>
        </w:rPr>
        <w:t xml:space="preserve"> </w:t>
      </w:r>
      <w:r w:rsidRPr="00AD5228">
        <w:rPr>
          <w:rFonts w:cs="RobotoRegular"/>
          <w:szCs w:val="24"/>
        </w:rPr>
        <w:t>of the 3-Post It Notes activity. Their sentence should emphasize the connections among the information they've gathered during</w:t>
      </w:r>
      <w:r>
        <w:rPr>
          <w:rFonts w:cs="RobotoRegular"/>
          <w:szCs w:val="24"/>
        </w:rPr>
        <w:t xml:space="preserve"> </w:t>
      </w:r>
      <w:r w:rsidRPr="00AD5228">
        <w:rPr>
          <w:rFonts w:cs="RobotoRegular"/>
          <w:szCs w:val="24"/>
        </w:rPr>
        <w:t>the Explore and Explain activities and discussions. There are other ways to direct students' knowledge construction, but they</w:t>
      </w:r>
      <w:r>
        <w:rPr>
          <w:rFonts w:cs="RobotoRegular"/>
          <w:szCs w:val="24"/>
        </w:rPr>
        <w:t xml:space="preserve"> </w:t>
      </w:r>
      <w:r w:rsidRPr="00AD5228">
        <w:rPr>
          <w:rFonts w:cs="RobotoRegular"/>
          <w:szCs w:val="24"/>
        </w:rPr>
        <w:t>should at least work out the following connections:</w:t>
      </w:r>
    </w:p>
    <w:p w14:paraId="452EFE07" w14:textId="2E3DDBB6" w:rsidR="00AD5228" w:rsidRPr="00AD5228" w:rsidRDefault="00AD5228" w:rsidP="00AD5228">
      <w:pPr>
        <w:pStyle w:val="ListParagraph"/>
        <w:numPr>
          <w:ilvl w:val="0"/>
          <w:numId w:val="13"/>
        </w:numPr>
        <w:rPr>
          <w:rFonts w:cs="RobotoRegular"/>
          <w:szCs w:val="24"/>
        </w:rPr>
      </w:pPr>
      <w:r w:rsidRPr="00AD5228">
        <w:rPr>
          <w:rFonts w:cs="RobotoRegular"/>
          <w:szCs w:val="24"/>
        </w:rPr>
        <w:t>the relationship between nutrient cycles and soil health (e.g., how cycles support healthy soil, how unhealthy soil might</w:t>
      </w:r>
      <w:r>
        <w:rPr>
          <w:rFonts w:cs="RobotoRegular"/>
          <w:szCs w:val="24"/>
        </w:rPr>
        <w:t xml:space="preserve"> </w:t>
      </w:r>
      <w:r w:rsidRPr="00AD5228">
        <w:rPr>
          <w:rFonts w:cs="RobotoRegular"/>
          <w:szCs w:val="24"/>
        </w:rPr>
        <w:t>disrupt cycles)</w:t>
      </w:r>
    </w:p>
    <w:p w14:paraId="36D43BF8" w14:textId="77777777" w:rsidR="00AD5228" w:rsidRPr="00AD5228" w:rsidRDefault="00AD5228" w:rsidP="00AD5228">
      <w:pPr>
        <w:pStyle w:val="ListParagraph"/>
        <w:numPr>
          <w:ilvl w:val="0"/>
          <w:numId w:val="13"/>
        </w:numPr>
        <w:rPr>
          <w:rFonts w:cs="RobotoRegular"/>
          <w:szCs w:val="24"/>
        </w:rPr>
      </w:pPr>
      <w:r w:rsidRPr="00AD5228">
        <w:rPr>
          <w:rFonts w:cs="RobotoRegular"/>
          <w:szCs w:val="24"/>
        </w:rPr>
        <w:t>how soil management practices support or supplement natural nutrient cycles</w:t>
      </w:r>
    </w:p>
    <w:p w14:paraId="070D6261" w14:textId="77777777" w:rsidR="00AD5228" w:rsidRPr="00AD5228" w:rsidRDefault="00AD5228" w:rsidP="00AD5228">
      <w:pPr>
        <w:pStyle w:val="ListParagraph"/>
        <w:numPr>
          <w:ilvl w:val="0"/>
          <w:numId w:val="13"/>
        </w:numPr>
        <w:rPr>
          <w:rFonts w:cs="RobotoRegular"/>
          <w:szCs w:val="24"/>
        </w:rPr>
      </w:pPr>
      <w:r w:rsidRPr="00AD5228">
        <w:rPr>
          <w:rFonts w:cs="RobotoRegular"/>
          <w:szCs w:val="24"/>
        </w:rPr>
        <w:t>the impact of soil management practices on soil health</w:t>
      </w:r>
    </w:p>
    <w:p w14:paraId="2783C914" w14:textId="77777777" w:rsidR="00AD5228" w:rsidRPr="00AD5228" w:rsidRDefault="00AD5228" w:rsidP="00AD5228">
      <w:pPr>
        <w:rPr>
          <w:rFonts w:cs="RobotoRegular"/>
          <w:szCs w:val="24"/>
        </w:rPr>
      </w:pPr>
      <w:r w:rsidRPr="00AD5228">
        <w:rPr>
          <w:rFonts w:cs="RobotoRegular"/>
          <w:szCs w:val="24"/>
        </w:rPr>
        <w:t>Several alternatives to class discussion or a written assignment for this portion of the Explain are suggested below.</w:t>
      </w:r>
    </w:p>
    <w:p w14:paraId="05C5D3B2" w14:textId="77777777" w:rsidR="00AD5228" w:rsidRPr="00AD5228" w:rsidRDefault="00AD5228" w:rsidP="00AD5228">
      <w:pPr>
        <w:ind w:left="720"/>
        <w:rPr>
          <w:color w:val="306E7C"/>
          <w:szCs w:val="24"/>
        </w:rPr>
      </w:pPr>
      <w:r w:rsidRPr="00AD5228">
        <w:rPr>
          <w:color w:val="306E7C"/>
          <w:szCs w:val="24"/>
        </w:rPr>
        <w:t>CONCEPT (CARD) MAPPING</w:t>
      </w:r>
    </w:p>
    <w:p w14:paraId="12611DF2" w14:textId="3A456134" w:rsidR="00AD5228" w:rsidRPr="00AD5228" w:rsidRDefault="00AD5228" w:rsidP="00AD5228">
      <w:pPr>
        <w:ind w:left="720"/>
        <w:rPr>
          <w:rFonts w:cs="RobotoItalic"/>
          <w:i/>
          <w:iCs/>
          <w:szCs w:val="24"/>
        </w:rPr>
      </w:pPr>
      <w:r w:rsidRPr="00AD5228">
        <w:rPr>
          <w:rFonts w:cs="RobotoItalic"/>
          <w:i/>
          <w:iCs/>
          <w:szCs w:val="24"/>
        </w:rPr>
        <w:t xml:space="preserve">This strategy can be done physically or digitally. Students can create hand-drawn or digital (e.g., </w:t>
      </w:r>
      <w:proofErr w:type="spellStart"/>
      <w:r w:rsidRPr="00AD5228">
        <w:rPr>
          <w:rFonts w:cs="RobotoItalic"/>
          <w:i/>
          <w:iCs/>
          <w:szCs w:val="24"/>
        </w:rPr>
        <w:t>MindMeister</w:t>
      </w:r>
      <w:proofErr w:type="spellEnd"/>
      <w:r w:rsidRPr="00AD5228">
        <w:rPr>
          <w:rFonts w:cs="RobotoItalic"/>
          <w:i/>
          <w:iCs/>
          <w:szCs w:val="24"/>
        </w:rPr>
        <w:t xml:space="preserve">, </w:t>
      </w:r>
      <w:proofErr w:type="spellStart"/>
      <w:r w:rsidRPr="00AD5228">
        <w:rPr>
          <w:rFonts w:cs="RobotoItalic"/>
          <w:i/>
          <w:iCs/>
          <w:szCs w:val="24"/>
        </w:rPr>
        <w:t>Cmaps</w:t>
      </w:r>
      <w:proofErr w:type="spellEnd"/>
      <w:r w:rsidRPr="00AD5228">
        <w:rPr>
          <w:rFonts w:cs="RobotoItalic"/>
          <w:i/>
          <w:iCs/>
          <w:szCs w:val="24"/>
        </w:rPr>
        <w:t>) concept maps.</w:t>
      </w:r>
      <w:r>
        <w:rPr>
          <w:rFonts w:cs="RobotoItalic"/>
          <w:i/>
          <w:iCs/>
          <w:szCs w:val="24"/>
        </w:rPr>
        <w:t xml:space="preserve"> </w:t>
      </w:r>
      <w:r w:rsidRPr="00AD5228">
        <w:rPr>
          <w:rFonts w:cs="RobotoItalic"/>
          <w:i/>
          <w:iCs/>
          <w:szCs w:val="24"/>
        </w:rPr>
        <w:t>They can also use physical cards, either pre-made or class-generated, that they glue/tape down and draw lines to connect ideas. As a</w:t>
      </w:r>
      <w:r>
        <w:rPr>
          <w:rFonts w:cs="RobotoItalic"/>
          <w:i/>
          <w:iCs/>
          <w:szCs w:val="24"/>
        </w:rPr>
        <w:t xml:space="preserve"> </w:t>
      </w:r>
      <w:r w:rsidRPr="00AD5228">
        <w:rPr>
          <w:rFonts w:cs="RobotoItalic"/>
          <w:i/>
          <w:iCs/>
          <w:szCs w:val="24"/>
        </w:rPr>
        <w:t>whole class</w:t>
      </w:r>
      <w:r w:rsidR="00305D9F">
        <w:rPr>
          <w:rFonts w:cs="RobotoItalic"/>
          <w:i/>
          <w:iCs/>
          <w:szCs w:val="24"/>
        </w:rPr>
        <w:t>,</w:t>
      </w:r>
      <w:r w:rsidRPr="00AD5228">
        <w:rPr>
          <w:rFonts w:cs="RobotoItalic"/>
          <w:i/>
          <w:iCs/>
          <w:szCs w:val="24"/>
        </w:rPr>
        <w:t xml:space="preserve"> you might consider using string to physically connect concepts found on the four anchor charts.</w:t>
      </w:r>
    </w:p>
    <w:p w14:paraId="32C68F74" w14:textId="77777777" w:rsidR="00AD5228" w:rsidRPr="00AD5228" w:rsidRDefault="00AD5228" w:rsidP="00AD5228">
      <w:pPr>
        <w:ind w:left="720"/>
        <w:rPr>
          <w:color w:val="306E7C"/>
          <w:szCs w:val="24"/>
        </w:rPr>
      </w:pPr>
      <w:r w:rsidRPr="00AD5228">
        <w:rPr>
          <w:color w:val="306E7C"/>
          <w:szCs w:val="24"/>
        </w:rPr>
        <w:lastRenderedPageBreak/>
        <w:t>METAPHORICAL THINKING</w:t>
      </w:r>
    </w:p>
    <w:p w14:paraId="067A1402" w14:textId="585BE885" w:rsidR="00AD5228" w:rsidRPr="00AD5228" w:rsidRDefault="00AD5228" w:rsidP="00AD5228">
      <w:pPr>
        <w:ind w:left="720"/>
        <w:rPr>
          <w:rFonts w:cs="RobotoItalic"/>
          <w:i/>
          <w:iCs/>
          <w:szCs w:val="24"/>
        </w:rPr>
      </w:pPr>
      <w:r w:rsidRPr="00AD5228">
        <w:rPr>
          <w:rFonts w:cs="RobotoItalic"/>
          <w:i/>
          <w:iCs/>
          <w:szCs w:val="24"/>
        </w:rPr>
        <w:t xml:space="preserve">Students create metaphors based on their personal </w:t>
      </w:r>
      <w:r w:rsidR="00305D9F">
        <w:rPr>
          <w:rFonts w:cs="RobotoItalic"/>
          <w:i/>
          <w:iCs/>
          <w:szCs w:val="24"/>
        </w:rPr>
        <w:t>experiences</w:t>
      </w:r>
      <w:r w:rsidRPr="00AD5228">
        <w:rPr>
          <w:rFonts w:cs="RobotoItalic"/>
          <w:i/>
          <w:iCs/>
          <w:szCs w:val="24"/>
        </w:rPr>
        <w:t xml:space="preserve"> to help explain the </w:t>
      </w:r>
      <w:r>
        <w:rPr>
          <w:rFonts w:cs="RobotoItalic"/>
          <w:i/>
          <w:iCs/>
          <w:szCs w:val="24"/>
        </w:rPr>
        <w:t>c</w:t>
      </w:r>
      <w:r w:rsidRPr="00AD5228">
        <w:rPr>
          <w:rFonts w:cs="RobotoItalic"/>
          <w:i/>
          <w:iCs/>
          <w:szCs w:val="24"/>
        </w:rPr>
        <w:t>onnections they are making.</w:t>
      </w:r>
    </w:p>
    <w:p w14:paraId="145E536A" w14:textId="77777777" w:rsidR="00AD5228" w:rsidRPr="00AD5228" w:rsidRDefault="00AD5228" w:rsidP="00AD5228">
      <w:pPr>
        <w:ind w:left="720"/>
        <w:rPr>
          <w:color w:val="306E7C"/>
          <w:szCs w:val="24"/>
        </w:rPr>
      </w:pPr>
      <w:r w:rsidRPr="00AD5228">
        <w:rPr>
          <w:color w:val="306E7C"/>
          <w:szCs w:val="24"/>
        </w:rPr>
        <w:t>COGNITIVE COMICS</w:t>
      </w:r>
    </w:p>
    <w:p w14:paraId="0E8E0817" w14:textId="7BDC1E0C" w:rsidR="00AD5228" w:rsidRDefault="00AD5228" w:rsidP="00AD5228">
      <w:pPr>
        <w:ind w:left="720"/>
        <w:rPr>
          <w:rFonts w:cs="RobotoItalic"/>
          <w:i/>
          <w:iCs/>
          <w:szCs w:val="24"/>
        </w:rPr>
      </w:pPr>
      <w:r w:rsidRPr="00AD5228">
        <w:rPr>
          <w:rFonts w:cs="RobotoItalic"/>
          <w:i/>
          <w:iCs/>
          <w:szCs w:val="24"/>
        </w:rPr>
        <w:t>Using either a predetermined structure (e.g., three panels) or letting students choose their own, students draw their conceptual</w:t>
      </w:r>
      <w:r>
        <w:rPr>
          <w:rFonts w:cs="RobotoItalic"/>
          <w:i/>
          <w:iCs/>
          <w:szCs w:val="24"/>
        </w:rPr>
        <w:t xml:space="preserve"> </w:t>
      </w:r>
      <w:r w:rsidRPr="00AD5228">
        <w:rPr>
          <w:rFonts w:cs="RobotoItalic"/>
          <w:i/>
          <w:iCs/>
          <w:szCs w:val="24"/>
        </w:rPr>
        <w:t>understanding as a comic. These could be shared using gallery walks or brief class presentations.</w:t>
      </w:r>
    </w:p>
    <w:p w14:paraId="34479EA7" w14:textId="000FD8BB" w:rsidR="000272C5" w:rsidRDefault="000272C5" w:rsidP="000272C5">
      <w:pPr>
        <w:pStyle w:val="Heading1"/>
      </w:pPr>
      <w:r>
        <w:t>For High Schoolers</w:t>
      </w:r>
    </w:p>
    <w:p w14:paraId="3A9E4070" w14:textId="77777777" w:rsidR="000272C5" w:rsidRDefault="000272C5" w:rsidP="000272C5">
      <w:r>
        <w:t>Have groups present a rough draft of their plans. As each group presents, ask the others to make one suggestion for improvement and ask one question for peer feedback. This feedback will be used to refine their final presentations.</w:t>
      </w:r>
    </w:p>
    <w:p w14:paraId="641AE55F" w14:textId="77777777" w:rsidR="000272C5" w:rsidRDefault="000272C5" w:rsidP="000272C5">
      <w:r>
        <w:t>After students have given peer feedback, provide students with a brief overview of nutrient cycles related to agriculture:</w:t>
      </w:r>
    </w:p>
    <w:p w14:paraId="76DE61CC" w14:textId="77777777" w:rsidR="000272C5" w:rsidRDefault="00F90303" w:rsidP="000272C5">
      <w:pPr>
        <w:pStyle w:val="ListParagraph"/>
        <w:numPr>
          <w:ilvl w:val="0"/>
          <w:numId w:val="12"/>
        </w:numPr>
      </w:pPr>
      <w:hyperlink r:id="rId8" w:history="1">
        <w:r w:rsidR="000272C5" w:rsidRPr="00AA613B">
          <w:rPr>
            <w:rStyle w:val="Hyperlink"/>
          </w:rPr>
          <w:t>http://pods.dasnr.okstate.edu/docushare/dsweb/Get/Document-5685/E-1003.pdf</w:t>
        </w:r>
      </w:hyperlink>
      <w:r w:rsidR="000272C5">
        <w:t xml:space="preserve"> </w:t>
      </w:r>
    </w:p>
    <w:p w14:paraId="4C5ACBB7" w14:textId="77777777" w:rsidR="000272C5" w:rsidRDefault="00F90303" w:rsidP="000272C5">
      <w:pPr>
        <w:pStyle w:val="ListParagraph"/>
        <w:numPr>
          <w:ilvl w:val="0"/>
          <w:numId w:val="12"/>
        </w:numPr>
      </w:pPr>
      <w:hyperlink r:id="rId9" w:history="1">
        <w:r w:rsidR="000272C5" w:rsidRPr="00AA613B">
          <w:rPr>
            <w:rStyle w:val="Hyperlink"/>
          </w:rPr>
          <w:t>http://www.envirothon.org/pdf/CG/nutrient_cycles.pdf</w:t>
        </w:r>
      </w:hyperlink>
      <w:r w:rsidR="000272C5">
        <w:t xml:space="preserve"> </w:t>
      </w:r>
    </w:p>
    <w:p w14:paraId="52460804" w14:textId="77777777" w:rsidR="000272C5" w:rsidRDefault="00F90303" w:rsidP="000272C5">
      <w:pPr>
        <w:pStyle w:val="ListParagraph"/>
        <w:numPr>
          <w:ilvl w:val="0"/>
          <w:numId w:val="12"/>
        </w:numPr>
      </w:pPr>
      <w:hyperlink r:id="rId10" w:history="1">
        <w:r w:rsidR="000272C5" w:rsidRPr="00AA613B">
          <w:rPr>
            <w:rStyle w:val="Hyperlink"/>
          </w:rPr>
          <w:t>http://biology.about.com/od/ecology/ss/nutrient-cycle.htm</w:t>
        </w:r>
      </w:hyperlink>
      <w:r w:rsidR="000272C5">
        <w:t xml:space="preserve"> </w:t>
      </w:r>
    </w:p>
    <w:p w14:paraId="63AE67CE" w14:textId="77777777" w:rsidR="000272C5" w:rsidRDefault="00F90303" w:rsidP="000272C5">
      <w:pPr>
        <w:pStyle w:val="ListParagraph"/>
        <w:numPr>
          <w:ilvl w:val="0"/>
          <w:numId w:val="12"/>
        </w:numPr>
      </w:pPr>
      <w:hyperlink r:id="rId11" w:history="1">
        <w:r w:rsidR="000272C5" w:rsidRPr="00AA613B">
          <w:rPr>
            <w:rStyle w:val="Hyperlink"/>
          </w:rPr>
          <w:t>http://www.soil-net.com/dev/page.cfm?pageid=secondary_cycles_nutrient&amp;loginas=anon_secondary</w:t>
        </w:r>
      </w:hyperlink>
      <w:r w:rsidR="000272C5">
        <w:t xml:space="preserve"> </w:t>
      </w:r>
    </w:p>
    <w:p w14:paraId="34D12852" w14:textId="77777777" w:rsidR="000272C5" w:rsidRDefault="000272C5" w:rsidP="000272C5">
      <w:r>
        <w:t>Have students incorporate this information into their presentations.</w:t>
      </w:r>
    </w:p>
    <w:p w14:paraId="248C4534" w14:textId="77777777" w:rsidR="000272C5" w:rsidRPr="000272C5" w:rsidRDefault="000272C5" w:rsidP="000272C5">
      <w:pPr>
        <w:pStyle w:val="BodyText"/>
      </w:pPr>
    </w:p>
    <w:sectPr w:rsidR="000272C5" w:rsidRPr="000272C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B440" w14:textId="77777777" w:rsidR="00F90303" w:rsidRDefault="00F90303" w:rsidP="00293785">
      <w:pPr>
        <w:spacing w:after="0" w:line="240" w:lineRule="auto"/>
      </w:pPr>
      <w:r>
        <w:separator/>
      </w:r>
    </w:p>
  </w:endnote>
  <w:endnote w:type="continuationSeparator" w:id="0">
    <w:p w14:paraId="0817CC84" w14:textId="77777777" w:rsidR="00F90303" w:rsidRDefault="00F9030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RobotoRegular">
    <w:altName w:val="Arial"/>
    <w:panose1 w:val="020B0604020202020204"/>
    <w:charset w:val="00"/>
    <w:family w:val="auto"/>
    <w:notTrueType/>
    <w:pitch w:val="default"/>
    <w:sig w:usb0="00000003" w:usb1="00000000" w:usb2="00000000" w:usb3="00000000" w:csb0="00000001" w:csb1="00000000"/>
  </w:font>
  <w:font w:name="RobotoItalic">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1489" w14:textId="77777777" w:rsidR="00305D9F" w:rsidRDefault="0030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CE1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8945F4E" wp14:editId="7F190E1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D52E21" w14:textId="6AB0E18A" w:rsidR="00293785" w:rsidRDefault="00F90303" w:rsidP="00D106FF">
                          <w:pPr>
                            <w:pStyle w:val="LessonFooter"/>
                          </w:pPr>
                          <w:sdt>
                            <w:sdtPr>
                              <w:alias w:val="Title"/>
                              <w:tag w:val=""/>
                              <w:id w:val="1281607793"/>
                              <w:placeholder>
                                <w:docPart w:val="4ACE77B8F4DD45429C6042F45C55EFF2"/>
                              </w:placeholder>
                              <w:dataBinding w:prefixMappings="xmlns:ns0='http://purl.org/dc/elements/1.1/' xmlns:ns1='http://schemas.openxmlformats.org/package/2006/metadata/core-properties' " w:xpath="/ns1:coreProperties[1]/ns0:title[1]" w:storeItemID="{6C3C8BC8-F283-45AE-878A-BAB7291924A1}"/>
                              <w:text/>
                            </w:sdtPr>
                            <w:sdtEndPr/>
                            <w:sdtContent>
                              <w:r w:rsidR="000272C5">
                                <w:t>How Does Authenticity Grow?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5F4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7D52E21" w14:textId="6AB0E18A" w:rsidR="00293785" w:rsidRDefault="000272C5" w:rsidP="00D106FF">
                    <w:pPr>
                      <w:pStyle w:val="LessonFooter"/>
                    </w:pPr>
                    <w:sdt>
                      <w:sdtPr>
                        <w:alias w:val="Title"/>
                        <w:tag w:val=""/>
                        <w:id w:val="1281607793"/>
                        <w:placeholder>
                          <w:docPart w:val="4ACE77B8F4DD45429C6042F45C55EFF2"/>
                        </w:placeholder>
                        <w:dataBinding w:prefixMappings="xmlns:ns0='http://purl.org/dc/elements/1.1/' xmlns:ns1='http://schemas.openxmlformats.org/package/2006/metadata/core-properties' " w:xpath="/ns1:coreProperties[1]/ns0:title[1]" w:storeItemID="{6C3C8BC8-F283-45AE-878A-BAB7291924A1}"/>
                        <w:text/>
                      </w:sdtPr>
                      <w:sdtEndPr/>
                      <w:sdtContent>
                        <w:r>
                          <w:t>How Does Authenticity Grow?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F3DC777" wp14:editId="001A150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7DBF" w14:textId="77777777" w:rsidR="00305D9F" w:rsidRDefault="0030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02609" w14:textId="77777777" w:rsidR="00F90303" w:rsidRDefault="00F90303" w:rsidP="00293785">
      <w:pPr>
        <w:spacing w:after="0" w:line="240" w:lineRule="auto"/>
      </w:pPr>
      <w:r>
        <w:separator/>
      </w:r>
    </w:p>
  </w:footnote>
  <w:footnote w:type="continuationSeparator" w:id="0">
    <w:p w14:paraId="29133DCC" w14:textId="77777777" w:rsidR="00F90303" w:rsidRDefault="00F9030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07B94" w14:textId="77777777" w:rsidR="00305D9F" w:rsidRDefault="0030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CCD0" w14:textId="77777777" w:rsidR="00305D9F" w:rsidRDefault="00305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7540" w14:textId="77777777" w:rsidR="00305D9F" w:rsidRDefault="0030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D5C91"/>
    <w:multiLevelType w:val="hybridMultilevel"/>
    <w:tmpl w:val="C8E0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391BA8"/>
    <w:multiLevelType w:val="hybridMultilevel"/>
    <w:tmpl w:val="5E78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2"/>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28"/>
    <w:rsid w:val="000272C5"/>
    <w:rsid w:val="0004006F"/>
    <w:rsid w:val="00053775"/>
    <w:rsid w:val="0005619A"/>
    <w:rsid w:val="0011259B"/>
    <w:rsid w:val="00116FDD"/>
    <w:rsid w:val="00125621"/>
    <w:rsid w:val="001D0BBF"/>
    <w:rsid w:val="001E1F85"/>
    <w:rsid w:val="001F125D"/>
    <w:rsid w:val="002345CC"/>
    <w:rsid w:val="00293785"/>
    <w:rsid w:val="002C0879"/>
    <w:rsid w:val="002C37B4"/>
    <w:rsid w:val="00305D9F"/>
    <w:rsid w:val="0036040A"/>
    <w:rsid w:val="00446C13"/>
    <w:rsid w:val="005078B4"/>
    <w:rsid w:val="0053328A"/>
    <w:rsid w:val="00540FC6"/>
    <w:rsid w:val="00544CE7"/>
    <w:rsid w:val="005511B6"/>
    <w:rsid w:val="00553C98"/>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03A15"/>
    <w:rsid w:val="00A101E8"/>
    <w:rsid w:val="00AC349E"/>
    <w:rsid w:val="00AD5228"/>
    <w:rsid w:val="00B92DBF"/>
    <w:rsid w:val="00BD119F"/>
    <w:rsid w:val="00C73EA1"/>
    <w:rsid w:val="00C8524A"/>
    <w:rsid w:val="00CC4F77"/>
    <w:rsid w:val="00CD3CF6"/>
    <w:rsid w:val="00CE336D"/>
    <w:rsid w:val="00D106FF"/>
    <w:rsid w:val="00D626EB"/>
    <w:rsid w:val="00DC7A6D"/>
    <w:rsid w:val="00ED24C8"/>
    <w:rsid w:val="00F377E2"/>
    <w:rsid w:val="00F50748"/>
    <w:rsid w:val="00F72D02"/>
    <w:rsid w:val="00F9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93F9F"/>
  <w15:docId w15:val="{8EB19571-F104-41D9-B9DE-32EA2757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ds.dasnr.okstate.edu/docushare/dsweb/Get/Document-5685/E-100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il-net.com/dev/page.cfm?pageid=secondary_cycles_nutrient&amp;loginas=anon_secondar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iology.about.com/od/ecology/ss/nutrient-cycle.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envirothon.org/pdf/CG/nutrient_cycle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CE77B8F4DD45429C6042F45C55EFF2"/>
        <w:category>
          <w:name w:val="General"/>
          <w:gallery w:val="placeholder"/>
        </w:category>
        <w:types>
          <w:type w:val="bbPlcHdr"/>
        </w:types>
        <w:behaviors>
          <w:behavior w:val="content"/>
        </w:behaviors>
        <w:guid w:val="{77D8C0B4-F454-41DB-B364-5BBFDEEC7A2A}"/>
      </w:docPartPr>
      <w:docPartBody>
        <w:p w:rsidR="00E816F7" w:rsidRDefault="00900B2E">
          <w:pPr>
            <w:pStyle w:val="4ACE77B8F4DD45429C6042F45C55EFF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RobotoRegular">
    <w:altName w:val="Arial"/>
    <w:panose1 w:val="020B0604020202020204"/>
    <w:charset w:val="00"/>
    <w:family w:val="auto"/>
    <w:notTrueType/>
    <w:pitch w:val="default"/>
    <w:sig w:usb0="00000003" w:usb1="00000000" w:usb2="00000000" w:usb3="00000000" w:csb0="00000001" w:csb1="00000000"/>
  </w:font>
  <w:font w:name="RobotoItalic">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F7"/>
    <w:rsid w:val="00900B2E"/>
    <w:rsid w:val="00E8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CE77B8F4DD45429C6042F45C55EFF2">
    <w:name w:val="4ACE77B8F4DD45429C6042F45C55E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51889F-A8EA-F54C-87A4-82E66BAAB5DD}">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3635-A360-FF4E-A897-290E5502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46</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Authenticity Grow?</dc:title>
  <dc:creator>k20center@ou.edu</dc:creator>
  <cp:lastModifiedBy>Walters, Darrin J.</cp:lastModifiedBy>
  <cp:revision>2</cp:revision>
  <cp:lastPrinted>2016-07-14T14:08:00Z</cp:lastPrinted>
  <dcterms:created xsi:type="dcterms:W3CDTF">2019-12-16T20:53:00Z</dcterms:created>
  <dcterms:modified xsi:type="dcterms:W3CDTF">2020-04-15T14:27:00Z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documentId_2095</vt:lpwstr>
  </property>
</Properties>
</file>